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0A8ABC">
      <w:pPr>
        <w:spacing w:before="69" w:beforeLines="29" w:line="276" w:lineRule="auto"/>
        <w:jc w:val="center"/>
        <w:outlineLvl w:val="0"/>
        <w:rPr>
          <w:rFonts w:ascii="宋体" w:hAnsi="宋体"/>
          <w:color w:val="auto"/>
          <w:sz w:val="22"/>
          <w:szCs w:val="22"/>
        </w:rPr>
      </w:pPr>
      <w:bookmarkStart w:id="0" w:name="_Toc26009"/>
      <w:r>
        <w:rPr>
          <w:rFonts w:hint="eastAsia" w:ascii="宋体" w:hAnsi="宋体"/>
          <w:b/>
          <w:color w:val="auto"/>
          <w:sz w:val="40"/>
          <w:szCs w:val="18"/>
          <w:lang w:val="en-US" w:eastAsia="zh-CN"/>
        </w:rPr>
        <w:t>湘东区粮食仓储设施建设项目——劳务施工 (2#A、B粮仓、5#设备房、6#磅房、室外附属)</w:t>
      </w:r>
      <w:r>
        <w:rPr>
          <w:rFonts w:hint="eastAsia" w:ascii="宋体" w:hAnsi="宋体"/>
          <w:b/>
          <w:color w:val="auto"/>
          <w:sz w:val="40"/>
          <w:szCs w:val="18"/>
        </w:rPr>
        <w:t>招标公告</w:t>
      </w:r>
      <w:bookmarkEnd w:id="0"/>
    </w:p>
    <w:p w14:paraId="37FAAF4C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76" w:lineRule="auto"/>
        <w:rPr>
          <w:rFonts w:hint="eastAsia" w:ascii="宋体" w:hAnsi="宋体" w:cs="宋体"/>
          <w:b/>
          <w:bCs/>
          <w:color w:val="auto"/>
          <w:sz w:val="24"/>
          <w:szCs w:val="24"/>
        </w:rPr>
      </w:pPr>
      <w:r>
        <w:rPr>
          <w:rFonts w:hint="eastAsia" w:ascii="宋体" w:hAnsi="宋体" w:cs="宋体"/>
          <w:b/>
          <w:bCs/>
          <w:color w:val="auto"/>
          <w:sz w:val="24"/>
          <w:szCs w:val="24"/>
        </w:rPr>
        <w:t>项目概况</w:t>
      </w:r>
    </w:p>
    <w:p w14:paraId="5678D7D1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76" w:lineRule="auto"/>
        <w:ind w:firstLine="480" w:firstLineChars="200"/>
        <w:rPr>
          <w:rFonts w:hint="eastAsia"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湘东区粮食仓储设施建设项目——劳务施工 (2#A、B粮仓、5#设备房、6#磅房、室外附属)</w:t>
      </w:r>
      <w:r>
        <w:rPr>
          <w:rFonts w:hint="eastAsia" w:ascii="宋体" w:hAnsi="宋体" w:cs="宋体"/>
          <w:color w:val="auto"/>
          <w:sz w:val="24"/>
          <w:szCs w:val="24"/>
        </w:rPr>
        <w:t>的潜在投标人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应通过网站上的公告报名方式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u w:val="single"/>
          <w:lang w:val="en-US" w:eastAsia="zh-CN" w:bidi="ar-SA"/>
        </w:rPr>
        <w:t>并于2024年01月07日</w:t>
      </w:r>
      <w:r>
        <w:rPr>
          <w:rFonts w:hint="eastAsia" w:ascii="宋体" w:hAnsi="宋体" w:cs="宋体"/>
          <w:color w:val="auto"/>
          <w:kern w:val="2"/>
          <w:sz w:val="24"/>
          <w:szCs w:val="24"/>
          <w:u w:val="single"/>
          <w:lang w:val="en-US" w:eastAsia="zh-CN" w:bidi="ar-SA"/>
        </w:rPr>
        <w:t>下午14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u w:val="single"/>
          <w:lang w:val="en-US" w:eastAsia="zh-CN" w:bidi="ar-SA"/>
        </w:rPr>
        <w:t>时30分</w:t>
      </w:r>
      <w:r>
        <w:rPr>
          <w:rFonts w:hint="eastAsia" w:ascii="宋体" w:hAnsi="宋体" w:cs="宋体"/>
          <w:bCs/>
          <w:color w:val="auto"/>
          <w:sz w:val="24"/>
          <w:szCs w:val="24"/>
          <w:u w:val="single"/>
        </w:rPr>
        <w:t>（</w:t>
      </w:r>
      <w:r>
        <w:rPr>
          <w:rFonts w:hint="eastAsia" w:ascii="宋体" w:hAnsi="宋体" w:cs="宋体"/>
          <w:bCs/>
          <w:color w:val="auto"/>
          <w:sz w:val="24"/>
          <w:szCs w:val="24"/>
        </w:rPr>
        <w:t>北京时间）前递交投标文件</w:t>
      </w:r>
      <w:r>
        <w:rPr>
          <w:rFonts w:hint="eastAsia" w:ascii="宋体" w:hAnsi="宋体" w:cs="宋体"/>
          <w:color w:val="auto"/>
          <w:sz w:val="24"/>
          <w:szCs w:val="24"/>
        </w:rPr>
        <w:t>。</w:t>
      </w:r>
    </w:p>
    <w:p w14:paraId="0A10416D">
      <w:pPr>
        <w:spacing w:line="276" w:lineRule="auto"/>
        <w:outlineLvl w:val="0"/>
        <w:rPr>
          <w:rFonts w:hint="eastAsia" w:ascii="宋体" w:hAnsi="宋体" w:cs="宋体"/>
          <w:b/>
          <w:color w:val="auto"/>
          <w:kern w:val="0"/>
          <w:sz w:val="24"/>
          <w:szCs w:val="24"/>
        </w:rPr>
      </w:pPr>
      <w:bookmarkStart w:id="1" w:name="_Toc2520"/>
      <w:bookmarkStart w:id="2" w:name="_Toc5465"/>
      <w:bookmarkStart w:id="3" w:name="_Toc35393621"/>
      <w:bookmarkStart w:id="4" w:name="_Toc35393790"/>
      <w:bookmarkStart w:id="5" w:name="_Toc28359002"/>
      <w:bookmarkStart w:id="6" w:name="_Toc28359079"/>
      <w:bookmarkStart w:id="7" w:name="_Hlk24379207"/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一、项目基本情况</w:t>
      </w:r>
      <w:bookmarkEnd w:id="1"/>
      <w:bookmarkEnd w:id="2"/>
      <w:bookmarkEnd w:id="3"/>
      <w:bookmarkEnd w:id="4"/>
      <w:bookmarkEnd w:id="5"/>
      <w:bookmarkEnd w:id="6"/>
    </w:p>
    <w:p w14:paraId="50952070">
      <w:pPr>
        <w:spacing w:line="276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cs="宋体"/>
          <w:color w:val="auto"/>
          <w:sz w:val="24"/>
          <w:szCs w:val="24"/>
        </w:rPr>
        <w:t>1.项目编号：</w:t>
      </w:r>
      <w:r>
        <w:rPr>
          <w:rFonts w:hint="eastAsia" w:ascii="宋体" w:hAnsi="宋体" w:eastAsia="宋体" w:cs="宋体"/>
          <w:color w:val="auto"/>
          <w:sz w:val="24"/>
          <w:lang w:eastAsia="zh-CN"/>
        </w:rPr>
        <w:t>PXCX-XD-2024-002</w:t>
      </w:r>
    </w:p>
    <w:p w14:paraId="488DC588">
      <w:pPr>
        <w:spacing w:line="276" w:lineRule="auto"/>
        <w:ind w:left="1919" w:leftChars="228" w:hanging="1440" w:hangingChars="600"/>
        <w:rPr>
          <w:rFonts w:hint="eastAsia" w:ascii="宋体" w:hAnsi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</w:rPr>
        <w:t>2.项目名称：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 xml:space="preserve">湘东区粮食仓储设施建设项目——劳务施工 (2#A、B粮仓、5#设备房、6#磅房、室外附属)  </w:t>
      </w:r>
    </w:p>
    <w:p w14:paraId="1E536DD2">
      <w:pPr>
        <w:spacing w:line="276" w:lineRule="auto"/>
        <w:ind w:firstLine="480" w:firstLineChars="200"/>
        <w:rPr>
          <w:rFonts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>3.采购方式：公开招标</w:t>
      </w:r>
    </w:p>
    <w:bookmarkEnd w:id="7"/>
    <w:p w14:paraId="233C8185">
      <w:pPr>
        <w:spacing w:line="276" w:lineRule="auto"/>
        <w:ind w:firstLine="480" w:firstLineChars="200"/>
        <w:rPr>
          <w:rFonts w:hint="default" w:ascii="宋体" w:hAnsi="宋体" w:eastAsia="宋体" w:cs="宋体"/>
          <w:color w:val="auto"/>
          <w:sz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</w:rPr>
        <w:t>4.预算金额：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4062584.73元</w:t>
      </w:r>
    </w:p>
    <w:p w14:paraId="2E833972">
      <w:pPr>
        <w:spacing w:line="276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lang w:eastAsia="zh-CN"/>
        </w:rPr>
        <w:t>5.最高限价：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4062584.73元</w:t>
      </w:r>
    </w:p>
    <w:p w14:paraId="38EE6887">
      <w:pPr>
        <w:spacing w:after="200" w:line="276" w:lineRule="auto"/>
        <w:ind w:firstLine="480" w:firstLineChars="200"/>
        <w:rPr>
          <w:rFonts w:hint="eastAsia"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>6.采购需求：</w:t>
      </w:r>
    </w:p>
    <w:tbl>
      <w:tblPr>
        <w:tblStyle w:val="5"/>
        <w:tblW w:w="918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0"/>
        <w:gridCol w:w="3363"/>
        <w:gridCol w:w="1635"/>
        <w:gridCol w:w="825"/>
        <w:gridCol w:w="912"/>
        <w:gridCol w:w="1856"/>
      </w:tblGrid>
      <w:tr w14:paraId="179B83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  <w:jc w:val="center"/>
        </w:trPr>
        <w:tc>
          <w:tcPr>
            <w:tcW w:w="590" w:type="dxa"/>
            <w:noWrap w:val="0"/>
            <w:vAlign w:val="center"/>
          </w:tcPr>
          <w:p w14:paraId="1D5BEE11">
            <w:pPr>
              <w:spacing w:line="276" w:lineRule="auto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序号</w:t>
            </w:r>
          </w:p>
        </w:tc>
        <w:tc>
          <w:tcPr>
            <w:tcW w:w="3363" w:type="dxa"/>
            <w:noWrap w:val="0"/>
            <w:vAlign w:val="center"/>
          </w:tcPr>
          <w:p w14:paraId="63B1E9F0">
            <w:pPr>
              <w:spacing w:line="276" w:lineRule="auto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采购项目名称</w:t>
            </w:r>
          </w:p>
        </w:tc>
        <w:tc>
          <w:tcPr>
            <w:tcW w:w="1635" w:type="dxa"/>
            <w:noWrap w:val="0"/>
            <w:vAlign w:val="center"/>
          </w:tcPr>
          <w:p w14:paraId="251A78A0">
            <w:pPr>
              <w:spacing w:line="276" w:lineRule="auto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技术需求或服务要求</w:t>
            </w:r>
          </w:p>
        </w:tc>
        <w:tc>
          <w:tcPr>
            <w:tcW w:w="825" w:type="dxa"/>
            <w:noWrap w:val="0"/>
            <w:vAlign w:val="center"/>
          </w:tcPr>
          <w:p w14:paraId="2C752BF6">
            <w:pPr>
              <w:spacing w:line="276" w:lineRule="auto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数量</w:t>
            </w:r>
          </w:p>
        </w:tc>
        <w:tc>
          <w:tcPr>
            <w:tcW w:w="912" w:type="dxa"/>
            <w:noWrap w:val="0"/>
            <w:vAlign w:val="center"/>
          </w:tcPr>
          <w:p w14:paraId="73D25CF4">
            <w:pPr>
              <w:spacing w:line="276" w:lineRule="auto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单位</w:t>
            </w:r>
          </w:p>
        </w:tc>
        <w:tc>
          <w:tcPr>
            <w:tcW w:w="1856" w:type="dxa"/>
            <w:noWrap w:val="0"/>
            <w:vAlign w:val="top"/>
          </w:tcPr>
          <w:p w14:paraId="63D88969">
            <w:pPr>
              <w:spacing w:line="276" w:lineRule="auto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采购预算</w:t>
            </w:r>
          </w:p>
          <w:p w14:paraId="04968F02">
            <w:pPr>
              <w:spacing w:line="276" w:lineRule="auto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（人民币）</w:t>
            </w:r>
          </w:p>
        </w:tc>
      </w:tr>
      <w:tr w14:paraId="30F125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9" w:hRule="atLeast"/>
          <w:jc w:val="center"/>
        </w:trPr>
        <w:tc>
          <w:tcPr>
            <w:tcW w:w="590" w:type="dxa"/>
            <w:noWrap w:val="0"/>
            <w:vAlign w:val="center"/>
          </w:tcPr>
          <w:p w14:paraId="7C908253">
            <w:pPr>
              <w:spacing w:line="276" w:lineRule="auto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</w:t>
            </w:r>
          </w:p>
        </w:tc>
        <w:tc>
          <w:tcPr>
            <w:tcW w:w="3363" w:type="dxa"/>
            <w:noWrap w:val="0"/>
            <w:vAlign w:val="center"/>
          </w:tcPr>
          <w:p w14:paraId="06A90B93">
            <w:pPr>
              <w:tabs>
                <w:tab w:val="left" w:pos="709"/>
              </w:tabs>
              <w:spacing w:line="276" w:lineRule="auto"/>
              <w:jc w:val="center"/>
              <w:rPr>
                <w:rFonts w:hint="default" w:ascii="宋体" w:hAnsi="宋体" w:cs="宋体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 xml:space="preserve">湘东区粮食仓储设施建设项目——劳务施工 (2#A、B粮仓、5#设备房、6#磅房、室外附属) </w:t>
            </w:r>
          </w:p>
        </w:tc>
        <w:tc>
          <w:tcPr>
            <w:tcW w:w="1635" w:type="dxa"/>
            <w:noWrap w:val="0"/>
            <w:vAlign w:val="center"/>
          </w:tcPr>
          <w:p w14:paraId="16C6CBCE">
            <w:pPr>
              <w:spacing w:line="276" w:lineRule="auto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详见采购需求</w:t>
            </w:r>
          </w:p>
        </w:tc>
        <w:tc>
          <w:tcPr>
            <w:tcW w:w="825" w:type="dxa"/>
            <w:noWrap w:val="0"/>
            <w:vAlign w:val="center"/>
          </w:tcPr>
          <w:p w14:paraId="471625F0">
            <w:pPr>
              <w:spacing w:line="276" w:lineRule="auto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</w:t>
            </w:r>
          </w:p>
        </w:tc>
        <w:tc>
          <w:tcPr>
            <w:tcW w:w="912" w:type="dxa"/>
            <w:noWrap w:val="0"/>
            <w:vAlign w:val="center"/>
          </w:tcPr>
          <w:p w14:paraId="59417EC5">
            <w:pPr>
              <w:spacing w:line="276" w:lineRule="auto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批</w:t>
            </w:r>
          </w:p>
        </w:tc>
        <w:tc>
          <w:tcPr>
            <w:tcW w:w="1856" w:type="dxa"/>
            <w:noWrap w:val="0"/>
            <w:vAlign w:val="center"/>
          </w:tcPr>
          <w:p w14:paraId="7FAE3856">
            <w:pPr>
              <w:spacing w:line="276" w:lineRule="auto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4062584.73元</w:t>
            </w:r>
          </w:p>
        </w:tc>
      </w:tr>
    </w:tbl>
    <w:p w14:paraId="7BAF71F5">
      <w:pPr>
        <w:spacing w:before="103" w:beforeLines="31" w:beforeAutospacing="0" w:line="276" w:lineRule="auto"/>
        <w:ind w:firstLine="480" w:firstLineChars="200"/>
        <w:rPr>
          <w:rFonts w:hint="eastAsia" w:ascii="宋体" w:hAnsi="宋体" w:eastAsia="宋体" w:cs="宋体"/>
          <w:color w:val="FF0000"/>
          <w:sz w:val="24"/>
          <w:szCs w:val="24"/>
          <w:lang w:val="en-US" w:eastAsia="zh-CN"/>
        </w:rPr>
      </w:pPr>
      <w:bookmarkStart w:id="8" w:name="_Toc35393622"/>
      <w:bookmarkStart w:id="9" w:name="_Toc28359003"/>
      <w:bookmarkStart w:id="10" w:name="_Toc28359080"/>
      <w:bookmarkStart w:id="11" w:name="_Toc35393791"/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7.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合同履行期限：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详见合同。</w:t>
      </w:r>
    </w:p>
    <w:p w14:paraId="077E731E">
      <w:pPr>
        <w:spacing w:line="276" w:lineRule="auto"/>
        <w:ind w:firstLine="480" w:firstLineChars="200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8.本项目不接受联合体</w:t>
      </w:r>
      <w:r>
        <w:rPr>
          <w:rFonts w:hint="eastAsia" w:ascii="宋体" w:hAnsi="宋体"/>
          <w:color w:val="auto"/>
          <w:sz w:val="24"/>
          <w:highlight w:val="none"/>
        </w:rPr>
        <w:t>、不得分包、转包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。</w:t>
      </w:r>
    </w:p>
    <w:p w14:paraId="316A5663">
      <w:pPr>
        <w:spacing w:line="276" w:lineRule="auto"/>
        <w:outlineLvl w:val="0"/>
        <w:rPr>
          <w:rFonts w:hint="eastAsia" w:ascii="宋体" w:hAnsi="宋体" w:cs="宋体"/>
          <w:b/>
          <w:color w:val="auto"/>
          <w:kern w:val="0"/>
          <w:sz w:val="24"/>
          <w:szCs w:val="24"/>
        </w:rPr>
      </w:pPr>
      <w:bookmarkStart w:id="12" w:name="_Toc5189"/>
      <w:bookmarkStart w:id="13" w:name="_Toc23866"/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二、申请人的资格要求</w:t>
      </w:r>
      <w:bookmarkEnd w:id="8"/>
      <w:bookmarkEnd w:id="9"/>
      <w:bookmarkEnd w:id="10"/>
      <w:bookmarkEnd w:id="11"/>
      <w:bookmarkEnd w:id="12"/>
      <w:bookmarkEnd w:id="13"/>
    </w:p>
    <w:p w14:paraId="5B375524">
      <w:pPr>
        <w:spacing w:line="520" w:lineRule="exact"/>
        <w:rPr>
          <w:rFonts w:ascii="宋体" w:hAnsi="宋体"/>
          <w:sz w:val="24"/>
          <w:szCs w:val="24"/>
        </w:rPr>
      </w:pPr>
      <w:bookmarkStart w:id="14" w:name="_Toc28359009"/>
      <w:bookmarkStart w:id="15" w:name="_Toc28359086"/>
      <w:r>
        <w:rPr>
          <w:rFonts w:hint="eastAsia" w:ascii="宋体" w:hAnsi="宋体"/>
          <w:sz w:val="24"/>
          <w:szCs w:val="24"/>
        </w:rPr>
        <w:t xml:space="preserve">    1.投标人必须符合《政府采购法》第二十二条之规定：</w:t>
      </w:r>
    </w:p>
    <w:p w14:paraId="26FC714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720" w:firstLineChars="300"/>
        <w:jc w:val="left"/>
        <w:textAlignment w:val="baseline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（1）具有独立承担民事责任的能力；</w:t>
      </w:r>
    </w:p>
    <w:p w14:paraId="3FE3755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720" w:firstLineChars="300"/>
        <w:jc w:val="left"/>
        <w:textAlignment w:val="baseline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（2）具有良好的商业信誉和健全的财务会计制度；</w:t>
      </w:r>
    </w:p>
    <w:p w14:paraId="4CC6300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720" w:firstLineChars="300"/>
        <w:jc w:val="left"/>
        <w:textAlignment w:val="baseline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（3）具有依法缴纳税收的良好记录；</w:t>
      </w:r>
    </w:p>
    <w:p w14:paraId="406DF3A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720" w:firstLineChars="300"/>
        <w:jc w:val="left"/>
        <w:textAlignment w:val="baseline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（4）具有履行合同所必需的设备和专业技术能力；</w:t>
      </w:r>
    </w:p>
    <w:p w14:paraId="1DA69A8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firstLine="720" w:firstLineChars="300"/>
        <w:jc w:val="left"/>
        <w:textAlignment w:val="baseline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（5）参加采购活动前三年内，在经营活动中没有重大违法记录；</w:t>
      </w:r>
    </w:p>
    <w:p w14:paraId="5FA93CC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438" w:leftChars="342" w:right="0" w:hanging="720" w:hangingChars="300"/>
        <w:jc w:val="left"/>
        <w:textAlignment w:val="baseline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（6）信誉证明：投标人未被“中国执行信息公开网”网站列入“失信被执行人”和未被“信用中国”网站列入“重大税收违法案件当事人”名单、未被“中国政府采购网”网站列入“政府采购严重违法失信行为记录”名单（处罚期限尚未届满的）；</w:t>
      </w:r>
    </w:p>
    <w:p w14:paraId="55AB76D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438" w:leftChars="342" w:right="0" w:hanging="720" w:hangingChars="300"/>
        <w:jc w:val="left"/>
        <w:textAlignment w:val="baseline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（7）单位负责人为同一人或者存在直接控股、管理关系的不同投标人，不得参加同一标段投标或者未划分标段的同一招标项目；</w:t>
      </w:r>
    </w:p>
    <w:p w14:paraId="41853C7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720" w:firstLineChars="300"/>
        <w:jc w:val="left"/>
        <w:textAlignment w:val="baseline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（8）外省进赣企业提供入赣许可（入赣备案）资料；</w:t>
      </w:r>
    </w:p>
    <w:p w14:paraId="316AD42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720" w:firstLineChars="300"/>
        <w:jc w:val="left"/>
        <w:textAlignment w:val="baseline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（9）法律、行政法规规定的其他条件；</w:t>
      </w:r>
    </w:p>
    <w:p w14:paraId="1C1BC79B">
      <w:pPr>
        <w:spacing w:line="520" w:lineRule="exact"/>
        <w:ind w:firstLine="480" w:firstLineChars="2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2</w:t>
      </w:r>
      <w:r>
        <w:rPr>
          <w:rFonts w:hint="eastAsia" w:ascii="宋体" w:hAnsi="宋体"/>
          <w:sz w:val="24"/>
          <w:szCs w:val="24"/>
        </w:rPr>
        <w:t>.本项目的特定资格要求：</w:t>
      </w:r>
    </w:p>
    <w:bookmarkEnd w:id="14"/>
    <w:bookmarkEnd w:id="15"/>
    <w:p w14:paraId="5A525B4D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Chars="342" w:right="0" w:rightChars="0"/>
        <w:jc w:val="left"/>
        <w:textAlignment w:val="baseline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bookmarkStart w:id="16" w:name="_Toc5296"/>
      <w:bookmarkStart w:id="17" w:name="_Toc35393623"/>
      <w:bookmarkStart w:id="18" w:name="_Toc35393792"/>
      <w:bookmarkStart w:id="19" w:name="_Toc30828"/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（1）具备施工劳务企业备案资质（或施工劳务不分等级资质） ，且资质证书处于有效期内；</w:t>
      </w:r>
    </w:p>
    <w:p w14:paraId="3954EC9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718" w:leftChars="342" w:right="0" w:firstLine="0" w:firstLineChars="0"/>
        <w:jc w:val="left"/>
        <w:textAlignment w:val="baseline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（2）具有有效的安全生产许可证，且证书处于有效期内；、</w:t>
      </w:r>
    </w:p>
    <w:p w14:paraId="086EA71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718" w:leftChars="342" w:right="0" w:firstLine="0" w:firstLineChars="0"/>
        <w:jc w:val="left"/>
        <w:textAlignment w:val="baseline"/>
        <w:rPr>
          <w:lang w:eastAsia="zh-CN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（5）本项目是否接受联合体投标：不接受。</w:t>
      </w:r>
    </w:p>
    <w:p w14:paraId="26C73BB1">
      <w:pPr>
        <w:spacing w:line="520" w:lineRule="exact"/>
        <w:outlineLvl w:val="0"/>
        <w:rPr>
          <w:rFonts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三、获取招标文件</w:t>
      </w:r>
      <w:bookmarkEnd w:id="16"/>
      <w:bookmarkEnd w:id="17"/>
      <w:bookmarkEnd w:id="18"/>
      <w:bookmarkEnd w:id="19"/>
    </w:p>
    <w:p w14:paraId="1667F148">
      <w:pPr>
        <w:spacing w:line="520" w:lineRule="exact"/>
        <w:ind w:firstLine="540"/>
        <w:rPr>
          <w:rFonts w:ascii="宋体" w:hAnsi="宋体" w:cs="宋体"/>
          <w:sz w:val="24"/>
          <w:szCs w:val="24"/>
          <w:u w:val="single"/>
        </w:rPr>
      </w:pPr>
      <w:r>
        <w:rPr>
          <w:rFonts w:hint="eastAsia" w:ascii="宋体" w:hAnsi="宋体" w:cs="宋体"/>
          <w:sz w:val="24"/>
          <w:szCs w:val="24"/>
        </w:rPr>
        <w:t>时间：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202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3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年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12 </w:t>
      </w:r>
      <w:r>
        <w:rPr>
          <w:rFonts w:hint="eastAsia" w:ascii="宋体" w:hAnsi="宋体" w:cs="宋体"/>
          <w:sz w:val="24"/>
          <w:szCs w:val="24"/>
          <w:u w:val="single"/>
        </w:rPr>
        <w:t>月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16</w:t>
      </w:r>
      <w:r>
        <w:rPr>
          <w:rFonts w:hint="eastAsia" w:ascii="宋体" w:hAnsi="宋体" w:cs="宋体"/>
          <w:sz w:val="24"/>
          <w:szCs w:val="24"/>
          <w:u w:val="single"/>
        </w:rPr>
        <w:t>日</w:t>
      </w:r>
      <w:r>
        <w:rPr>
          <w:rFonts w:hint="eastAsia" w:ascii="宋体" w:hAnsi="宋体" w:cs="宋体"/>
          <w:sz w:val="24"/>
          <w:szCs w:val="24"/>
        </w:rPr>
        <w:t>至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2024年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1</w:t>
      </w:r>
      <w:r>
        <w:rPr>
          <w:rFonts w:hint="eastAsia" w:ascii="宋体" w:hAnsi="宋体" w:cs="宋体"/>
          <w:sz w:val="24"/>
          <w:szCs w:val="24"/>
          <w:u w:val="single"/>
        </w:rPr>
        <w:t>月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06</w:t>
      </w:r>
      <w:r>
        <w:rPr>
          <w:rFonts w:hint="eastAsia" w:ascii="宋体" w:hAnsi="宋体" w:cs="宋体"/>
          <w:sz w:val="24"/>
          <w:szCs w:val="24"/>
          <w:u w:val="single"/>
        </w:rPr>
        <w:t>日</w:t>
      </w:r>
    </w:p>
    <w:p w14:paraId="39A0CC9F">
      <w:pPr>
        <w:spacing w:line="520" w:lineRule="exact"/>
        <w:ind w:firstLine="540"/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cs="宋体"/>
          <w:sz w:val="24"/>
          <w:szCs w:val="24"/>
        </w:rPr>
        <w:t>地点：</w:t>
      </w:r>
      <w:r>
        <w:rPr>
          <w:rFonts w:hint="eastAsia" w:ascii="宋体" w:hAnsi="宋体" w:cs="宋体"/>
          <w:sz w:val="24"/>
          <w:szCs w:val="24"/>
          <w:lang w:eastAsia="zh-CN"/>
        </w:rPr>
        <w:t>萍乡市创星工程咨询有限公司</w:t>
      </w:r>
    </w:p>
    <w:p w14:paraId="568F9A10">
      <w:pPr>
        <w:spacing w:line="520" w:lineRule="exact"/>
        <w:ind w:firstLine="540"/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cs="宋体"/>
          <w:sz w:val="24"/>
          <w:szCs w:val="24"/>
        </w:rPr>
        <w:t>方式：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提供加盖公章的营业执照扫描件和授权委托书。报名时间截止后，概不受理任何报名和咨询事宜。报名资料齐全的发放招标文件，未报名成功的单位报名无效。</w:t>
      </w:r>
    </w:p>
    <w:p w14:paraId="2A664C7B">
      <w:pPr>
        <w:spacing w:line="520" w:lineRule="exact"/>
        <w:ind w:firstLine="54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售价：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0.00</w:t>
      </w:r>
      <w:r>
        <w:rPr>
          <w:rFonts w:hint="eastAsia" w:ascii="宋体" w:hAnsi="宋体" w:cs="宋体"/>
          <w:sz w:val="24"/>
          <w:szCs w:val="24"/>
        </w:rPr>
        <w:t>元</w:t>
      </w:r>
    </w:p>
    <w:p w14:paraId="71CD22E1">
      <w:pPr>
        <w:spacing w:line="520" w:lineRule="exact"/>
        <w:outlineLvl w:val="0"/>
        <w:rPr>
          <w:rFonts w:ascii="宋体" w:hAnsi="宋体" w:cs="宋体"/>
          <w:b/>
          <w:kern w:val="0"/>
          <w:sz w:val="24"/>
          <w:szCs w:val="24"/>
        </w:rPr>
      </w:pPr>
      <w:bookmarkStart w:id="20" w:name="_Toc35393624"/>
      <w:bookmarkStart w:id="21" w:name="_Toc28359082"/>
      <w:bookmarkStart w:id="22" w:name="_Toc35393793"/>
      <w:bookmarkStart w:id="23" w:name="_Toc28359005"/>
      <w:bookmarkStart w:id="24" w:name="_Toc32443"/>
      <w:bookmarkStart w:id="25" w:name="_Toc18147"/>
      <w:r>
        <w:rPr>
          <w:rFonts w:hint="eastAsia" w:ascii="宋体" w:hAnsi="宋体" w:cs="宋体"/>
          <w:b/>
          <w:kern w:val="0"/>
          <w:sz w:val="24"/>
          <w:szCs w:val="24"/>
        </w:rPr>
        <w:t>四、</w:t>
      </w:r>
      <w:bookmarkEnd w:id="20"/>
      <w:bookmarkEnd w:id="21"/>
      <w:bookmarkEnd w:id="22"/>
      <w:bookmarkEnd w:id="23"/>
      <w:r>
        <w:rPr>
          <w:rFonts w:hint="eastAsia" w:ascii="宋体" w:hAnsi="宋体" w:cs="宋体"/>
          <w:b/>
          <w:kern w:val="0"/>
          <w:sz w:val="24"/>
          <w:szCs w:val="24"/>
        </w:rPr>
        <w:t>响应文件提交</w:t>
      </w:r>
      <w:bookmarkEnd w:id="24"/>
      <w:bookmarkEnd w:id="25"/>
    </w:p>
    <w:p w14:paraId="2BE90619">
      <w:pPr>
        <w:spacing w:line="520" w:lineRule="exact"/>
        <w:ind w:firstLine="480" w:firstLineChars="200"/>
        <w:rPr>
          <w:rFonts w:ascii="宋体" w:hAnsi="宋体" w:cs="宋体"/>
          <w:bCs/>
          <w:sz w:val="24"/>
          <w:szCs w:val="24"/>
          <w:u w:val="single"/>
        </w:rPr>
      </w:pPr>
      <w:r>
        <w:rPr>
          <w:rFonts w:hint="eastAsia" w:ascii="宋体" w:hAnsi="宋体" w:cs="宋体"/>
          <w:sz w:val="24"/>
          <w:szCs w:val="24"/>
        </w:rPr>
        <w:t>截止时间：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2024年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01</w:t>
      </w:r>
      <w:r>
        <w:rPr>
          <w:rFonts w:hint="eastAsia" w:ascii="宋体" w:hAnsi="宋体" w:cs="宋体"/>
          <w:bCs/>
          <w:sz w:val="24"/>
          <w:szCs w:val="24"/>
          <w:u w:val="single"/>
        </w:rPr>
        <w:t>月</w:t>
      </w:r>
      <w:r>
        <w:rPr>
          <w:rFonts w:hint="eastAsia" w:ascii="宋体" w:hAnsi="宋体" w:cs="宋体"/>
          <w:bCs/>
          <w:sz w:val="24"/>
          <w:szCs w:val="24"/>
          <w:u w:val="single"/>
          <w:lang w:val="en-US" w:eastAsia="zh-CN"/>
        </w:rPr>
        <w:t xml:space="preserve"> 07  </w:t>
      </w:r>
      <w:r>
        <w:rPr>
          <w:rFonts w:hint="eastAsia" w:ascii="宋体" w:hAnsi="宋体" w:cs="宋体"/>
          <w:bCs/>
          <w:sz w:val="24"/>
          <w:szCs w:val="24"/>
          <w:u w:val="single"/>
        </w:rPr>
        <w:t>日</w:t>
      </w:r>
      <w:r>
        <w:rPr>
          <w:rFonts w:hint="eastAsia" w:ascii="宋体" w:hAnsi="宋体" w:cs="宋体"/>
          <w:bCs/>
          <w:sz w:val="24"/>
          <w:szCs w:val="24"/>
          <w:u w:val="single"/>
          <w:lang w:val="en-US" w:eastAsia="zh-CN"/>
        </w:rPr>
        <w:t xml:space="preserve">下午 14 </w:t>
      </w:r>
      <w:r>
        <w:rPr>
          <w:rFonts w:hint="eastAsia" w:ascii="宋体" w:hAnsi="宋体" w:cs="宋体"/>
          <w:bCs/>
          <w:sz w:val="24"/>
          <w:szCs w:val="24"/>
          <w:u w:val="single"/>
        </w:rPr>
        <w:t>时</w:t>
      </w:r>
      <w:r>
        <w:rPr>
          <w:rFonts w:hint="eastAsia" w:ascii="宋体" w:hAnsi="宋体" w:cs="宋体"/>
          <w:bCs/>
          <w:sz w:val="24"/>
          <w:szCs w:val="24"/>
          <w:u w:val="single"/>
          <w:lang w:val="en-US" w:eastAsia="zh-CN"/>
        </w:rPr>
        <w:t xml:space="preserve"> 30 </w:t>
      </w:r>
      <w:r>
        <w:rPr>
          <w:rFonts w:hint="eastAsia" w:ascii="宋体" w:hAnsi="宋体" w:cs="宋体"/>
          <w:bCs/>
          <w:sz w:val="24"/>
          <w:szCs w:val="24"/>
          <w:u w:val="single"/>
        </w:rPr>
        <w:t>分</w:t>
      </w:r>
      <w:r>
        <w:rPr>
          <w:rFonts w:hint="eastAsia" w:ascii="宋体" w:hAnsi="宋体" w:cs="宋体"/>
          <w:sz w:val="24"/>
          <w:szCs w:val="24"/>
          <w:u w:val="single"/>
        </w:rPr>
        <w:t>（北京时间）（自招标文件开始发出之日起至投标人提交投标文件截止之日止，不得少于20日）</w:t>
      </w:r>
    </w:p>
    <w:p w14:paraId="37CBA3EB">
      <w:pPr>
        <w:spacing w:line="520" w:lineRule="exact"/>
        <w:ind w:firstLine="480" w:firstLineChars="2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cs="宋体"/>
          <w:sz w:val="24"/>
          <w:szCs w:val="24"/>
        </w:rPr>
        <w:t>地点：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江西嘉祥水利工程有限公司</w:t>
      </w:r>
      <w:r>
        <w:rPr>
          <w:rFonts w:hint="eastAsia" w:ascii="宋体" w:hAnsi="宋体" w:cs="宋体"/>
          <w:sz w:val="24"/>
          <w:szCs w:val="24"/>
          <w:lang w:eastAsia="zh-CN"/>
        </w:rPr>
        <w:t>会议室；</w:t>
      </w:r>
    </w:p>
    <w:p w14:paraId="57E648E0">
      <w:pPr>
        <w:spacing w:line="520" w:lineRule="exact"/>
        <w:outlineLvl w:val="0"/>
        <w:rPr>
          <w:rFonts w:ascii="宋体" w:hAnsi="宋体" w:cs="宋体"/>
          <w:b/>
          <w:kern w:val="0"/>
          <w:sz w:val="24"/>
          <w:szCs w:val="24"/>
        </w:rPr>
      </w:pPr>
      <w:bookmarkStart w:id="26" w:name="_Toc35393802"/>
      <w:bookmarkStart w:id="27" w:name="_Toc28359093"/>
      <w:bookmarkStart w:id="28" w:name="_Toc21878"/>
      <w:bookmarkStart w:id="29" w:name="_Toc28359016"/>
      <w:bookmarkStart w:id="30" w:name="_Toc20904"/>
      <w:bookmarkStart w:id="31" w:name="_Toc35393633"/>
      <w:r>
        <w:rPr>
          <w:rFonts w:hint="eastAsia" w:ascii="宋体" w:hAnsi="宋体" w:cs="宋体"/>
          <w:b/>
          <w:kern w:val="0"/>
          <w:sz w:val="24"/>
          <w:szCs w:val="24"/>
        </w:rPr>
        <w:t>五、开启</w:t>
      </w:r>
      <w:bookmarkEnd w:id="26"/>
      <w:bookmarkEnd w:id="27"/>
      <w:bookmarkEnd w:id="28"/>
      <w:bookmarkEnd w:id="29"/>
      <w:bookmarkEnd w:id="30"/>
      <w:bookmarkEnd w:id="31"/>
    </w:p>
    <w:p w14:paraId="03CDA8F4">
      <w:pPr>
        <w:spacing w:line="520" w:lineRule="exact"/>
        <w:ind w:firstLine="480" w:firstLineChars="200"/>
        <w:rPr>
          <w:rFonts w:ascii="宋体" w:hAnsi="宋体" w:cs="宋体"/>
          <w:bCs/>
          <w:sz w:val="24"/>
          <w:szCs w:val="24"/>
          <w:u w:val="single"/>
        </w:rPr>
      </w:pPr>
      <w:r>
        <w:rPr>
          <w:rFonts w:hint="eastAsia" w:ascii="宋体" w:hAnsi="宋体" w:cs="宋体"/>
          <w:sz w:val="24"/>
          <w:szCs w:val="24"/>
        </w:rPr>
        <w:t>时间：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2024年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01</w:t>
      </w:r>
      <w:r>
        <w:rPr>
          <w:rFonts w:hint="eastAsia" w:ascii="宋体" w:hAnsi="宋体" w:cs="宋体"/>
          <w:bCs/>
          <w:sz w:val="24"/>
          <w:szCs w:val="24"/>
          <w:u w:val="single"/>
        </w:rPr>
        <w:t>月</w:t>
      </w:r>
      <w:r>
        <w:rPr>
          <w:rFonts w:hint="eastAsia" w:ascii="宋体" w:hAnsi="宋体" w:cs="宋体"/>
          <w:bCs/>
          <w:sz w:val="24"/>
          <w:szCs w:val="24"/>
          <w:u w:val="single"/>
          <w:lang w:val="en-US" w:eastAsia="zh-CN"/>
        </w:rPr>
        <w:t xml:space="preserve"> 07  </w:t>
      </w:r>
      <w:r>
        <w:rPr>
          <w:rFonts w:hint="eastAsia" w:ascii="宋体" w:hAnsi="宋体" w:cs="宋体"/>
          <w:bCs/>
          <w:sz w:val="24"/>
          <w:szCs w:val="24"/>
          <w:u w:val="single"/>
        </w:rPr>
        <w:t>日</w:t>
      </w:r>
      <w:r>
        <w:rPr>
          <w:rFonts w:hint="eastAsia" w:ascii="宋体" w:hAnsi="宋体" w:cs="宋体"/>
          <w:bCs/>
          <w:sz w:val="24"/>
          <w:szCs w:val="24"/>
          <w:u w:val="single"/>
          <w:lang w:val="en-US" w:eastAsia="zh-CN"/>
        </w:rPr>
        <w:t xml:space="preserve">下午 14 </w:t>
      </w:r>
      <w:r>
        <w:rPr>
          <w:rFonts w:hint="eastAsia" w:ascii="宋体" w:hAnsi="宋体" w:cs="宋体"/>
          <w:bCs/>
          <w:sz w:val="24"/>
          <w:szCs w:val="24"/>
          <w:u w:val="single"/>
        </w:rPr>
        <w:t>时</w:t>
      </w:r>
      <w:r>
        <w:rPr>
          <w:rFonts w:hint="eastAsia" w:ascii="宋体" w:hAnsi="宋体" w:cs="宋体"/>
          <w:bCs/>
          <w:sz w:val="24"/>
          <w:szCs w:val="24"/>
          <w:u w:val="single"/>
          <w:lang w:val="en-US" w:eastAsia="zh-CN"/>
        </w:rPr>
        <w:t xml:space="preserve"> 30 </w:t>
      </w:r>
      <w:r>
        <w:rPr>
          <w:rFonts w:hint="eastAsia" w:ascii="宋体" w:hAnsi="宋体" w:cs="宋体"/>
          <w:bCs/>
          <w:sz w:val="24"/>
          <w:szCs w:val="24"/>
          <w:u w:val="single"/>
        </w:rPr>
        <w:t>分</w:t>
      </w:r>
      <w:r>
        <w:rPr>
          <w:rFonts w:hint="eastAsia" w:ascii="宋体" w:hAnsi="宋体" w:cs="宋体"/>
          <w:bCs/>
          <w:sz w:val="24"/>
          <w:szCs w:val="24"/>
        </w:rPr>
        <w:t>（北京时间）。</w:t>
      </w:r>
    </w:p>
    <w:p w14:paraId="252A12D7">
      <w:pPr>
        <w:spacing w:line="520" w:lineRule="exact"/>
        <w:ind w:firstLine="480" w:firstLineChars="200"/>
        <w:rPr>
          <w:rFonts w:hint="eastAsia" w:ascii="宋体" w:hAnsi="宋体" w:eastAsia="宋体" w:cs="宋体"/>
          <w:sz w:val="24"/>
          <w:szCs w:val="24"/>
          <w:lang w:eastAsia="zh-CN"/>
        </w:rPr>
      </w:pPr>
      <w:bookmarkStart w:id="32" w:name="_Toc23052"/>
      <w:bookmarkStart w:id="33" w:name="_Toc28359084"/>
      <w:bookmarkStart w:id="34" w:name="_Toc22754"/>
      <w:bookmarkStart w:id="35" w:name="_Toc35393794"/>
      <w:bookmarkStart w:id="36" w:name="_Toc35393625"/>
      <w:bookmarkStart w:id="37" w:name="_Toc28359007"/>
      <w:r>
        <w:rPr>
          <w:rFonts w:hint="eastAsia" w:ascii="宋体" w:hAnsi="宋体" w:cs="宋体"/>
          <w:sz w:val="24"/>
          <w:szCs w:val="24"/>
        </w:rPr>
        <w:t>地点：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江西嘉祥水利工程有限公司</w:t>
      </w:r>
      <w:r>
        <w:rPr>
          <w:rFonts w:hint="eastAsia" w:ascii="宋体" w:hAnsi="宋体" w:cs="宋体"/>
          <w:sz w:val="24"/>
          <w:szCs w:val="24"/>
          <w:lang w:eastAsia="zh-CN"/>
        </w:rPr>
        <w:t>会议室；</w:t>
      </w:r>
    </w:p>
    <w:p w14:paraId="7D63C373">
      <w:pPr>
        <w:spacing w:line="520" w:lineRule="exact"/>
        <w:outlineLvl w:val="0"/>
        <w:rPr>
          <w:rFonts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六、公告期限</w:t>
      </w:r>
      <w:bookmarkEnd w:id="32"/>
      <w:bookmarkEnd w:id="33"/>
      <w:bookmarkEnd w:id="34"/>
      <w:bookmarkEnd w:id="35"/>
      <w:bookmarkEnd w:id="36"/>
      <w:bookmarkEnd w:id="37"/>
    </w:p>
    <w:p w14:paraId="2062E810">
      <w:pPr>
        <w:spacing w:line="520" w:lineRule="exact"/>
        <w:ind w:firstLine="480" w:firstLineChars="200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自本公告发布之日起5个工作日。</w:t>
      </w:r>
    </w:p>
    <w:p w14:paraId="77AF390E">
      <w:pPr>
        <w:spacing w:line="520" w:lineRule="exact"/>
        <w:outlineLvl w:val="0"/>
        <w:rPr>
          <w:rFonts w:ascii="宋体" w:hAnsi="宋体" w:cs="宋体"/>
          <w:b/>
          <w:kern w:val="0"/>
          <w:sz w:val="24"/>
          <w:szCs w:val="24"/>
        </w:rPr>
      </w:pPr>
      <w:bookmarkStart w:id="38" w:name="_Toc35393795"/>
      <w:bookmarkStart w:id="39" w:name="_Toc35393626"/>
      <w:bookmarkStart w:id="40" w:name="_Toc5416"/>
      <w:bookmarkStart w:id="41" w:name="_Toc9527"/>
      <w:bookmarkStart w:id="42" w:name="_Toc25905"/>
      <w:bookmarkStart w:id="43" w:name="_Toc35393627"/>
      <w:bookmarkStart w:id="44" w:name="_Toc35393796"/>
      <w:bookmarkStart w:id="45" w:name="_Toc28359085"/>
      <w:bookmarkStart w:id="46" w:name="_Toc28359008"/>
      <w:r>
        <w:rPr>
          <w:rFonts w:hint="eastAsia" w:ascii="宋体" w:hAnsi="宋体" w:cs="宋体"/>
          <w:b/>
          <w:kern w:val="0"/>
          <w:sz w:val="24"/>
          <w:szCs w:val="24"/>
        </w:rPr>
        <w:t>七、其他补充事宜</w:t>
      </w:r>
      <w:bookmarkEnd w:id="38"/>
      <w:bookmarkEnd w:id="39"/>
      <w:bookmarkEnd w:id="40"/>
      <w:bookmarkEnd w:id="41"/>
      <w:bookmarkEnd w:id="42"/>
    </w:p>
    <w:p w14:paraId="7F229EFD">
      <w:pPr>
        <w:widowControl/>
        <w:ind w:firstLine="480" w:firstLineChars="200"/>
        <w:jc w:val="left"/>
        <w:rPr>
          <w:rFonts w:hint="eastAsia" w:cs="宋体"/>
          <w:color w:val="auto"/>
          <w:kern w:val="0"/>
          <w:sz w:val="24"/>
          <w:szCs w:val="21"/>
        </w:rPr>
      </w:pPr>
      <w:bookmarkStart w:id="47" w:name="_Toc13339"/>
      <w:bookmarkStart w:id="48" w:name="_Toc15230"/>
      <w:r>
        <w:rPr>
          <w:rFonts w:hint="eastAsia" w:cs="宋体"/>
          <w:color w:val="auto"/>
          <w:kern w:val="0"/>
          <w:sz w:val="24"/>
          <w:szCs w:val="21"/>
        </w:rPr>
        <w:t>1、采购需求：详见第</w:t>
      </w:r>
      <w:r>
        <w:rPr>
          <w:rFonts w:hint="eastAsia" w:cs="宋体"/>
          <w:color w:val="auto"/>
          <w:kern w:val="0"/>
          <w:sz w:val="24"/>
          <w:szCs w:val="21"/>
          <w:lang w:val="en-US" w:eastAsia="zh-CN"/>
        </w:rPr>
        <w:t>六</w:t>
      </w:r>
      <w:r>
        <w:rPr>
          <w:rFonts w:hint="eastAsia" w:cs="宋体"/>
          <w:color w:val="auto"/>
          <w:kern w:val="0"/>
          <w:sz w:val="24"/>
          <w:szCs w:val="21"/>
        </w:rPr>
        <w:t>章技术参数要求</w:t>
      </w:r>
      <w:r>
        <w:rPr>
          <w:rFonts w:hint="eastAsia" w:cs="宋体"/>
          <w:color w:val="auto"/>
          <w:kern w:val="0"/>
          <w:sz w:val="24"/>
          <w:szCs w:val="21"/>
        </w:rPr>
        <w:tab/>
      </w:r>
    </w:p>
    <w:p w14:paraId="5800237F">
      <w:pPr>
        <w:widowControl/>
        <w:ind w:firstLine="480" w:firstLineChars="200"/>
        <w:jc w:val="left"/>
        <w:rPr>
          <w:rFonts w:hint="eastAsia" w:cs="宋体"/>
          <w:color w:val="auto"/>
          <w:kern w:val="0"/>
          <w:sz w:val="24"/>
          <w:szCs w:val="21"/>
        </w:rPr>
      </w:pPr>
      <w:r>
        <w:rPr>
          <w:rFonts w:hint="eastAsia" w:cs="宋体"/>
          <w:color w:val="auto"/>
          <w:kern w:val="0"/>
          <w:sz w:val="24"/>
          <w:szCs w:val="21"/>
        </w:rPr>
        <w:t>2、评标办法:</w:t>
      </w:r>
      <w:r>
        <w:rPr>
          <w:rFonts w:hint="eastAsia"/>
          <w:color w:val="auto"/>
          <w:sz w:val="22"/>
          <w:szCs w:val="21"/>
        </w:rPr>
        <w:t xml:space="preserve"> </w:t>
      </w:r>
      <w:r>
        <w:rPr>
          <w:rFonts w:hint="eastAsia" w:cs="宋体"/>
          <w:color w:val="auto"/>
          <w:kern w:val="0"/>
          <w:sz w:val="24"/>
          <w:szCs w:val="21"/>
        </w:rPr>
        <w:t>采用</w:t>
      </w:r>
      <w:r>
        <w:rPr>
          <w:rFonts w:hint="eastAsia" w:cs="宋体"/>
          <w:color w:val="auto"/>
          <w:kern w:val="0"/>
          <w:sz w:val="24"/>
          <w:szCs w:val="21"/>
          <w:lang w:val="en-US" w:eastAsia="zh-CN"/>
        </w:rPr>
        <w:t>综合评分</w:t>
      </w:r>
      <w:r>
        <w:rPr>
          <w:rFonts w:hint="eastAsia" w:cs="宋体"/>
          <w:color w:val="auto"/>
          <w:kern w:val="0"/>
          <w:sz w:val="24"/>
          <w:szCs w:val="21"/>
        </w:rPr>
        <w:t>法。</w:t>
      </w:r>
    </w:p>
    <w:p w14:paraId="4F46532C">
      <w:pPr>
        <w:widowControl/>
        <w:ind w:firstLine="480" w:firstLineChars="200"/>
        <w:jc w:val="left"/>
        <w:rPr>
          <w:rFonts w:hint="eastAsia" w:cs="宋体"/>
          <w:color w:val="auto"/>
          <w:kern w:val="0"/>
          <w:sz w:val="24"/>
          <w:szCs w:val="21"/>
        </w:rPr>
      </w:pPr>
      <w:r>
        <w:rPr>
          <w:rFonts w:hint="eastAsia" w:cs="宋体"/>
          <w:color w:val="auto"/>
          <w:kern w:val="0"/>
          <w:sz w:val="24"/>
          <w:szCs w:val="21"/>
        </w:rPr>
        <w:t>3、本项目采购代理服务费：向成交供应商收取，收费标准详见招标文件 。</w:t>
      </w:r>
    </w:p>
    <w:p w14:paraId="1AEBF1DF">
      <w:pPr>
        <w:widowControl/>
        <w:ind w:firstLine="480" w:firstLineChars="200"/>
        <w:jc w:val="left"/>
        <w:rPr>
          <w:rFonts w:hint="eastAsia" w:cs="宋体"/>
          <w:color w:val="auto"/>
          <w:kern w:val="0"/>
          <w:sz w:val="24"/>
          <w:szCs w:val="21"/>
        </w:rPr>
      </w:pPr>
      <w:r>
        <w:rPr>
          <w:rFonts w:hint="eastAsia" w:cs="宋体"/>
          <w:color w:val="auto"/>
          <w:kern w:val="0"/>
          <w:sz w:val="24"/>
          <w:szCs w:val="21"/>
        </w:rPr>
        <w:t>4、对小型和微型企业（监狱企业）产品、残疾人福利性单位的价格给予</w:t>
      </w:r>
      <w:r>
        <w:rPr>
          <w:rFonts w:hint="eastAsia" w:cs="宋体"/>
          <w:color w:val="auto"/>
          <w:kern w:val="0"/>
          <w:sz w:val="24"/>
          <w:szCs w:val="21"/>
          <w:lang w:val="en-US" w:eastAsia="zh-CN"/>
        </w:rPr>
        <w:t>10</w:t>
      </w:r>
      <w:r>
        <w:rPr>
          <w:rFonts w:hint="eastAsia" w:cs="宋体"/>
          <w:color w:val="auto"/>
          <w:kern w:val="0"/>
          <w:sz w:val="24"/>
          <w:szCs w:val="21"/>
        </w:rPr>
        <w:t>%的扣除，用扣除后的价格参与评审。必须按规定提交证明材料，原件现场核查，否则不予扣除。</w:t>
      </w:r>
    </w:p>
    <w:p w14:paraId="677C4374">
      <w:pPr>
        <w:widowControl/>
        <w:ind w:left="13" w:leftChars="6" w:right="-227" w:firstLine="480" w:firstLineChars="200"/>
        <w:jc w:val="left"/>
        <w:rPr>
          <w:rFonts w:hint="eastAsia" w:cs="宋体"/>
          <w:color w:val="auto"/>
          <w:kern w:val="0"/>
          <w:sz w:val="24"/>
          <w:szCs w:val="21"/>
        </w:rPr>
      </w:pPr>
      <w:r>
        <w:rPr>
          <w:rFonts w:hint="eastAsia" w:cs="宋体"/>
          <w:color w:val="auto"/>
          <w:kern w:val="0"/>
          <w:sz w:val="24"/>
          <w:szCs w:val="21"/>
        </w:rPr>
        <w:t>5、若存在投标产品属于“节能、环保标志”清单内产品情形的（节能产品是指财政部、国家发展和改革委员会最新公布的《节能产品政府采购清单》内产品，环境标志产品是指环保部和财政部最新公布的《环境标志产品政府采购清单》内产品，以及江西省公布的节能、环境标志清单目录内的产品），在投标价相同的情形下优先采购。</w:t>
      </w:r>
    </w:p>
    <w:p w14:paraId="75C66849">
      <w:pPr>
        <w:spacing w:line="520" w:lineRule="exact"/>
        <w:outlineLvl w:val="0"/>
        <w:rPr>
          <w:rFonts w:hint="eastAsia" w:ascii="宋体" w:hAnsi="宋体" w:cs="宋体"/>
          <w:b/>
          <w:kern w:val="0"/>
          <w:sz w:val="24"/>
          <w:szCs w:val="24"/>
        </w:rPr>
      </w:pPr>
    </w:p>
    <w:p w14:paraId="04ECE64F">
      <w:pPr>
        <w:spacing w:line="520" w:lineRule="exact"/>
        <w:outlineLvl w:val="0"/>
        <w:rPr>
          <w:rFonts w:hint="eastAsia" w:ascii="宋体" w:hAnsi="宋体" w:cs="宋体"/>
          <w:b/>
          <w:kern w:val="0"/>
          <w:sz w:val="24"/>
          <w:szCs w:val="24"/>
        </w:rPr>
      </w:pPr>
    </w:p>
    <w:p w14:paraId="64AADE25">
      <w:pPr>
        <w:spacing w:line="520" w:lineRule="exact"/>
        <w:outlineLvl w:val="0"/>
        <w:rPr>
          <w:rFonts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八、对本次招标提出询问，请按以下方式联系。</w:t>
      </w:r>
      <w:bookmarkEnd w:id="43"/>
      <w:bookmarkEnd w:id="44"/>
      <w:bookmarkEnd w:id="45"/>
      <w:bookmarkEnd w:id="46"/>
      <w:bookmarkEnd w:id="47"/>
      <w:bookmarkEnd w:id="48"/>
    </w:p>
    <w:p w14:paraId="5739C72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　　　1.采购人信息</w:t>
      </w:r>
    </w:p>
    <w:p w14:paraId="5AF1296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079" w:leftChars="371" w:hanging="300" w:hangingChars="125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名 称：江西嘉祥水利工程有限公司</w:t>
      </w:r>
    </w:p>
    <w:p w14:paraId="614367F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079" w:leftChars="371" w:hanging="300" w:hangingChars="125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地    址：江西省萍乡市湘东区湘东镇樟里村赣西石化加油站旁</w:t>
      </w:r>
    </w:p>
    <w:p w14:paraId="4A0466A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079" w:leftChars="371" w:hanging="300" w:hangingChars="125"/>
        <w:jc w:val="left"/>
        <w:textAlignment w:val="auto"/>
        <w:rPr>
          <w:rFonts w:hint="default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联系方式：0799-3370500</w:t>
      </w:r>
    </w:p>
    <w:p w14:paraId="553025D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079" w:leftChars="371" w:hanging="300" w:hangingChars="125"/>
        <w:jc w:val="left"/>
        <w:textAlignment w:val="auto"/>
        <w:rPr>
          <w:rFonts w:hint="eastAsia" w:ascii="宋体" w:hAnsi="宋体" w:cs="宋体"/>
          <w:color w:val="000000"/>
          <w:sz w:val="24"/>
          <w:szCs w:val="24"/>
          <w:highlight w:val="none"/>
        </w:rPr>
      </w:pPr>
      <w:r>
        <w:rPr>
          <w:rFonts w:hint="eastAsia" w:ascii="宋体" w:hAnsi="宋体" w:cs="宋体"/>
          <w:color w:val="000000"/>
          <w:sz w:val="24"/>
          <w:szCs w:val="24"/>
          <w:highlight w:val="none"/>
        </w:rPr>
        <w:t xml:space="preserve">2.采购代理机构信息 </w:t>
      </w:r>
    </w:p>
    <w:p w14:paraId="3DE12FB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079" w:leftChars="371" w:hanging="300" w:hangingChars="125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名 称：萍乡市创星工程咨询有限公司</w:t>
      </w:r>
    </w:p>
    <w:p w14:paraId="2A40663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079" w:leftChars="371" w:hanging="300" w:hangingChars="125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地  址：   萍乡市安源区佳禾购物广场19栋201</w:t>
      </w:r>
      <w:bookmarkStart w:id="49" w:name="_GoBack"/>
      <w:bookmarkEnd w:id="49"/>
    </w:p>
    <w:p w14:paraId="1670D77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079" w:leftChars="371" w:hanging="300" w:hangingChars="125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联系方式：  15907998265</w:t>
      </w:r>
    </w:p>
    <w:p w14:paraId="329623D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079" w:leftChars="371" w:hanging="300" w:hangingChars="125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3.监督机构</w:t>
      </w:r>
    </w:p>
    <w:p w14:paraId="02A3FD7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079" w:leftChars="371" w:hanging="300" w:hangingChars="125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名称:萍乡市五峰林场监察办</w:t>
      </w:r>
    </w:p>
    <w:p w14:paraId="5D6D980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079" w:leftChars="371" w:hanging="300" w:hangingChars="125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联系方式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:0799-3471272</w:t>
      </w:r>
    </w:p>
    <w:p w14:paraId="58E2037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079" w:leftChars="371" w:hanging="300" w:hangingChars="125"/>
        <w:jc w:val="righ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/>
          <w:lang w:val="en-US" w:eastAsia="zh-CN"/>
        </w:rPr>
      </w:pPr>
      <w:r>
        <w:rPr>
          <w:rFonts w:hint="eastAsia" w:ascii="宋体" w:hAnsi="宋体" w:cs="宋体"/>
          <w:sz w:val="24"/>
          <w:szCs w:val="24"/>
          <w:u w:val="none"/>
          <w:lang w:eastAsia="zh-CN"/>
        </w:rPr>
        <w:t>202</w:t>
      </w:r>
      <w:r>
        <w:rPr>
          <w:rFonts w:hint="eastAsia" w:ascii="宋体" w:hAnsi="宋体" w:cs="宋体"/>
          <w:sz w:val="24"/>
          <w:szCs w:val="24"/>
          <w:u w:val="none"/>
          <w:lang w:val="en-US" w:eastAsia="zh-CN"/>
        </w:rPr>
        <w:t>3</w:t>
      </w:r>
      <w:r>
        <w:rPr>
          <w:rFonts w:hint="eastAsia" w:ascii="宋体" w:hAnsi="宋体" w:cs="宋体"/>
          <w:sz w:val="24"/>
          <w:szCs w:val="24"/>
          <w:u w:val="none"/>
          <w:lang w:eastAsia="zh-CN"/>
        </w:rPr>
        <w:t>年</w:t>
      </w:r>
      <w:r>
        <w:rPr>
          <w:rFonts w:hint="eastAsia" w:ascii="宋体" w:hAnsi="宋体" w:cs="宋体"/>
          <w:sz w:val="24"/>
          <w:szCs w:val="24"/>
          <w:u w:val="none"/>
          <w:lang w:val="en-US" w:eastAsia="zh-CN"/>
        </w:rPr>
        <w:t xml:space="preserve"> 12</w:t>
      </w:r>
      <w:r>
        <w:rPr>
          <w:rFonts w:hint="eastAsia" w:ascii="宋体" w:hAnsi="宋体" w:cs="宋体"/>
          <w:sz w:val="24"/>
          <w:szCs w:val="24"/>
          <w:u w:val="none"/>
        </w:rPr>
        <w:t>月</w:t>
      </w:r>
      <w:r>
        <w:rPr>
          <w:rFonts w:hint="eastAsia" w:ascii="宋体" w:hAnsi="宋体" w:cs="宋体"/>
          <w:sz w:val="24"/>
          <w:szCs w:val="24"/>
          <w:u w:val="none"/>
          <w:lang w:val="en-US" w:eastAsia="zh-CN"/>
        </w:rPr>
        <w:t>16</w:t>
      </w:r>
      <w:r>
        <w:rPr>
          <w:rFonts w:hint="eastAsia" w:ascii="宋体" w:hAnsi="宋体" w:cs="宋体"/>
          <w:sz w:val="24"/>
          <w:szCs w:val="24"/>
          <w:u w:val="none"/>
        </w:rPr>
        <w:t>日</w:t>
      </w:r>
    </w:p>
    <w:sectPr>
      <w:pgSz w:w="11906" w:h="16838"/>
      <w:pgMar w:top="1240" w:right="1486" w:bottom="1440" w:left="1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yNDcxNTlkZTFiYmMxYTdkNzZmMDY5ZmQyNjUxNmUifQ=="/>
  </w:docVars>
  <w:rsids>
    <w:rsidRoot w:val="70655ED1"/>
    <w:rsid w:val="12787984"/>
    <w:rsid w:val="18DE3363"/>
    <w:rsid w:val="19F83FBD"/>
    <w:rsid w:val="245E20A3"/>
    <w:rsid w:val="26174191"/>
    <w:rsid w:val="2AA56E6E"/>
    <w:rsid w:val="33E66171"/>
    <w:rsid w:val="34DE1B4B"/>
    <w:rsid w:val="379A70A5"/>
    <w:rsid w:val="38190055"/>
    <w:rsid w:val="3E487DE1"/>
    <w:rsid w:val="51530A69"/>
    <w:rsid w:val="56222D88"/>
    <w:rsid w:val="5D6B3030"/>
    <w:rsid w:val="5DB212B1"/>
    <w:rsid w:val="623B64C4"/>
    <w:rsid w:val="6675714E"/>
    <w:rsid w:val="70655ED1"/>
    <w:rsid w:val="7C003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page number"/>
    <w:unhideWhenUsed/>
    <w:qFormat/>
    <w:uiPriority w:val="0"/>
  </w:style>
  <w:style w:type="character" w:styleId="8">
    <w:name w:val="Hyperlink"/>
    <w:basedOn w:val="6"/>
    <w:unhideWhenUsed/>
    <w:qFormat/>
    <w:uiPriority w:val="99"/>
    <w:rPr>
      <w:color w:val="0000FF"/>
      <w:u w:val="none"/>
    </w:rPr>
  </w:style>
  <w:style w:type="paragraph" w:customStyle="1" w:styleId="9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10">
    <w:name w:val="段"/>
    <w:next w:val="1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1511</Words>
  <Characters>1663</Characters>
  <Lines>0</Lines>
  <Paragraphs>0</Paragraphs>
  <TotalTime>0</TotalTime>
  <ScaleCrop>false</ScaleCrop>
  <LinksUpToDate>false</LinksUpToDate>
  <CharactersWithSpaces>1716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2024-05-09T07:55:00Z</dcterms:created>
  <dc:creator>林</dc:creator>
  <cp:lastModifiedBy>Administrator</cp:lastModifiedBy>
  <cp:lastPrinted>2024-07-12T03:01:00Z</cp:lastPrinted>
  <dcterms:modified xsi:type="dcterms:W3CDTF">2024-07-16T06:03:50Z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46EAB4D0EB1044ABAAE325C53DA361A7_11</vt:lpwstr>
  </property>
</Properties>
</file>