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利用亚洲开发银行贷款江西萍乡城乡基础设施综合发展项目萍水河河道综合整治工程(一河两岸)</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rPr>
      </w:pPr>
      <w:bookmarkStart w:id="0" w:name="_Toc16925"/>
      <w:bookmarkStart w:id="1" w:name="_Toc35393629"/>
      <w:bookmarkStart w:id="2" w:name="_Toc5137"/>
      <w:bookmarkStart w:id="3" w:name="_Toc35393798"/>
      <w:bookmarkStart w:id="4" w:name="_Toc28359089"/>
      <w:bookmarkStart w:id="5" w:name="_Toc28359012"/>
      <w:bookmarkStart w:id="6" w:name="_Toc14910"/>
      <w:r>
        <w:rPr>
          <w:rFonts w:hint="eastAsia" w:ascii="宋体" w:hAnsi="宋体" w:eastAsia="宋体" w:cs="宋体"/>
          <w:color w:val="auto"/>
          <w:sz w:val="24"/>
          <w:highlight w:val="none"/>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u w:val="single"/>
          <w:lang w:eastAsia="zh-CN"/>
        </w:rPr>
        <w:t>利用亚洲开发银行贷款江西萍乡城乡基础设施综合发展项目萍水河河道综合整治工程(一河两岸)</w:t>
      </w:r>
      <w:r>
        <w:rPr>
          <w:rFonts w:hint="eastAsia" w:ascii="宋体" w:hAnsi="宋体" w:eastAsia="宋体" w:cs="宋体"/>
          <w:color w:val="auto"/>
          <w:sz w:val="24"/>
          <w:highlight w:val="none"/>
        </w:rPr>
        <w:t>招标的潜在投标人应在</w:t>
      </w:r>
      <w:r>
        <w:rPr>
          <w:rFonts w:hint="eastAsia" w:ascii="宋体" w:hAnsi="宋体" w:cs="宋体"/>
          <w:color w:val="auto"/>
          <w:sz w:val="24"/>
          <w:highlight w:val="none"/>
          <w:lang w:val="en-US" w:eastAsia="zh-CN"/>
        </w:rPr>
        <w:t>江西睿佳工程咨询有限公司报名，并于</w:t>
      </w:r>
      <w:r>
        <w:rPr>
          <w:rFonts w:hint="eastAsia" w:ascii="宋体" w:hAnsi="宋体" w:cs="宋体"/>
          <w:bCs/>
          <w:color w:val="auto"/>
          <w:sz w:val="24"/>
          <w:highlight w:val="none"/>
          <w:u w:val="single"/>
          <w:lang w:val="en-US" w:eastAsia="zh-CN"/>
        </w:rPr>
        <w:t>2020年7月22日下午17</w:t>
      </w:r>
      <w:bookmarkStart w:id="35" w:name="_GoBack"/>
      <w:bookmarkEnd w:id="35"/>
      <w:r>
        <w:rPr>
          <w:rFonts w:hint="eastAsia" w:ascii="宋体" w:hAnsi="宋体" w:cs="宋体"/>
          <w:bCs/>
          <w:color w:val="auto"/>
          <w:sz w:val="24"/>
          <w:highlight w:val="none"/>
          <w:u w:val="single"/>
          <w:lang w:val="en-US" w:eastAsia="zh-CN"/>
        </w:rPr>
        <w:t>:00</w:t>
      </w:r>
      <w:r>
        <w:rPr>
          <w:rFonts w:hint="eastAsia" w:ascii="宋体" w:hAnsi="宋体" w:cs="宋体"/>
          <w:bCs/>
          <w:color w:val="auto"/>
          <w:sz w:val="24"/>
          <w:highlight w:val="none"/>
          <w:lang w:val="en-US" w:eastAsia="zh-CN"/>
        </w:rPr>
        <w:t>（北京时间）</w:t>
      </w:r>
      <w:r>
        <w:rPr>
          <w:rFonts w:hint="eastAsia" w:ascii="宋体" w:hAnsi="宋体" w:eastAsia="宋体" w:cs="宋体"/>
          <w:bCs/>
          <w:color w:val="auto"/>
          <w:sz w:val="24"/>
          <w:highlight w:val="none"/>
        </w:rPr>
        <w:t>前递交</w:t>
      </w:r>
      <w:r>
        <w:rPr>
          <w:rFonts w:hint="eastAsia" w:ascii="宋体" w:hAnsi="宋体" w:cs="宋体"/>
          <w:bCs/>
          <w:color w:val="auto"/>
          <w:sz w:val="24"/>
          <w:highlight w:val="none"/>
          <w:lang w:val="en-US" w:eastAsia="zh-CN"/>
        </w:rPr>
        <w:t>资格审查</w:t>
      </w:r>
      <w:r>
        <w:rPr>
          <w:rFonts w:hint="eastAsia" w:ascii="宋体" w:hAnsi="宋体" w:eastAsia="宋体" w:cs="宋体"/>
          <w:bCs/>
          <w:color w:val="auto"/>
          <w:sz w:val="24"/>
          <w:highlight w:val="none"/>
        </w:rPr>
        <w:t>文件</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 xml:space="preserve"> </w:t>
      </w:r>
    </w:p>
    <w:p>
      <w:pPr>
        <w:pStyle w:val="3"/>
        <w:spacing w:before="0" w:after="0" w:line="240" w:lineRule="auto"/>
        <w:rPr>
          <w:rFonts w:hint="eastAsia" w:ascii="宋体" w:hAnsi="宋体" w:eastAsia="宋体" w:cs="宋体"/>
          <w:bCs w:val="0"/>
          <w:color w:val="auto"/>
          <w:sz w:val="24"/>
          <w:szCs w:val="24"/>
          <w:highlight w:val="none"/>
        </w:rPr>
      </w:pPr>
      <w:r>
        <w:rPr>
          <w:rFonts w:hint="eastAsia" w:ascii="宋体" w:hAnsi="宋体" w:eastAsia="宋体" w:cs="宋体"/>
          <w:bCs w:val="0"/>
          <w:color w:val="auto"/>
          <w:sz w:val="24"/>
          <w:szCs w:val="24"/>
          <w:highlight w:val="none"/>
        </w:rPr>
        <w:t>一、项目基本情况</w:t>
      </w:r>
      <w:bookmarkEnd w:id="0"/>
      <w:bookmarkEnd w:id="1"/>
      <w:bookmarkEnd w:id="2"/>
      <w:bookmarkEnd w:id="3"/>
      <w:bookmarkEnd w:id="4"/>
      <w:bookmarkEnd w:id="5"/>
      <w:bookmarkEnd w:id="6"/>
    </w:p>
    <w:p>
      <w:pPr>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利用亚洲开发银行贷款江西萍乡城乡基础设施综合发展项目萍水河河道综合整治工程(一河两岸)</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预算金额：</w:t>
      </w:r>
      <w:r>
        <w:rPr>
          <w:rFonts w:hint="eastAsia" w:ascii="宋体" w:hAnsi="宋体" w:cs="宋体"/>
          <w:color w:val="auto"/>
          <w:sz w:val="24"/>
          <w:szCs w:val="24"/>
          <w:highlight w:val="none"/>
          <w:lang w:val="en-US" w:eastAsia="zh-CN"/>
        </w:rPr>
        <w:t>131万</w:t>
      </w:r>
      <w:r>
        <w:rPr>
          <w:rFonts w:hint="eastAsia" w:ascii="宋体" w:hAnsi="宋体" w:eastAsia="宋体" w:cs="宋体"/>
          <w:color w:val="auto"/>
          <w:sz w:val="24"/>
          <w:szCs w:val="24"/>
          <w:highlight w:val="none"/>
        </w:rPr>
        <w:t>元</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131万</w:t>
      </w:r>
      <w:r>
        <w:rPr>
          <w:rFonts w:hint="eastAsia" w:ascii="宋体" w:hAnsi="宋体" w:eastAsia="宋体" w:cs="宋体"/>
          <w:color w:val="auto"/>
          <w:sz w:val="24"/>
          <w:szCs w:val="24"/>
          <w:highlight w:val="none"/>
        </w:rPr>
        <w:t>元</w:t>
      </w:r>
    </w:p>
    <w:p>
      <w:pPr>
        <w:ind w:firstLine="480" w:firstLineChars="200"/>
        <w:rPr>
          <w:rFonts w:hint="default" w:ascii="宋体" w:hAnsi="宋体" w:eastAsia="宋体" w:cs="宋体"/>
          <w:strike/>
          <w:color w:val="auto"/>
          <w:sz w:val="24"/>
          <w:szCs w:val="24"/>
          <w:highlight w:val="none"/>
          <w:u w:val="single"/>
          <w:lang w:val="en-US" w:eastAsia="zh-CN"/>
        </w:rPr>
      </w:pPr>
      <w:r>
        <w:rPr>
          <w:rFonts w:hint="eastAsia" w:ascii="宋体" w:hAnsi="宋体" w:eastAsia="宋体" w:cs="宋体"/>
          <w:color w:val="auto"/>
          <w:sz w:val="24"/>
          <w:szCs w:val="24"/>
          <w:highlight w:val="none"/>
        </w:rPr>
        <w:t>采购需求：</w:t>
      </w:r>
      <w:r>
        <w:rPr>
          <w:rFonts w:hint="eastAsia" w:ascii="宋体" w:hAnsi="宋体" w:cs="宋体"/>
          <w:color w:val="auto"/>
          <w:sz w:val="24"/>
          <w:szCs w:val="24"/>
          <w:highlight w:val="none"/>
          <w:lang w:val="en-US" w:eastAsia="zh-CN"/>
        </w:rPr>
        <w:t>劳务服务</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序号</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采购条目名称</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数量</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单位</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采购预算</w:t>
            </w:r>
          </w:p>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1</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lang w:eastAsia="zh-CN"/>
              </w:rPr>
            </w:pPr>
            <w:r>
              <w:rPr>
                <w:rFonts w:hint="eastAsia" w:ascii="宋体" w:hAnsi="宋体" w:cs="宋体"/>
                <w:color w:val="auto"/>
                <w:sz w:val="24"/>
                <w:szCs w:val="24"/>
                <w:highlight w:val="none"/>
                <w:lang w:eastAsia="zh-CN"/>
              </w:rPr>
              <w:t>利用亚洲开发银行贷款江西萍乡城乡基础设施综合发展项目萍水河河道综合整治工程(一河两岸)</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cs="宋体"/>
                <w:color w:val="auto"/>
                <w:sz w:val="24"/>
                <w:szCs w:val="24"/>
                <w:highlight w:val="none"/>
                <w:lang w:val="en-US" w:eastAsia="zh-CN"/>
              </w:rPr>
              <w:t>131万</w:t>
            </w:r>
            <w:r>
              <w:rPr>
                <w:rFonts w:hint="eastAsia" w:ascii="宋体" w:hAnsi="宋体" w:eastAsia="宋体" w:cs="宋体"/>
                <w:color w:val="auto"/>
                <w:sz w:val="24"/>
                <w:szCs w:val="24"/>
                <w:highlight w:val="none"/>
              </w:rPr>
              <w:t>元</w:t>
            </w:r>
          </w:p>
        </w:tc>
      </w:tr>
    </w:tbl>
    <w:p>
      <w:pPr>
        <w:pStyle w:val="3"/>
        <w:spacing w:before="0" w:after="0" w:line="240" w:lineRule="auto"/>
        <w:rPr>
          <w:rFonts w:hint="eastAsia" w:ascii="宋体" w:hAnsi="宋体" w:eastAsia="宋体" w:cs="宋体"/>
          <w:bCs w:val="0"/>
          <w:color w:val="auto"/>
          <w:sz w:val="24"/>
          <w:szCs w:val="24"/>
          <w:highlight w:val="none"/>
        </w:rPr>
      </w:pPr>
      <w:bookmarkStart w:id="7" w:name="_Toc23209"/>
      <w:bookmarkStart w:id="8" w:name="_Toc35393799"/>
      <w:bookmarkStart w:id="9" w:name="_Toc28359013"/>
      <w:bookmarkStart w:id="10" w:name="_Toc28359090"/>
      <w:bookmarkStart w:id="11" w:name="_Toc11895"/>
      <w:bookmarkStart w:id="12" w:name="_Toc13076"/>
      <w:bookmarkStart w:id="13" w:name="_Toc35393630"/>
      <w:r>
        <w:rPr>
          <w:rFonts w:hint="eastAsia" w:ascii="宋体" w:hAnsi="宋体" w:eastAsia="宋体" w:cs="宋体"/>
          <w:bCs w:val="0"/>
          <w:color w:val="auto"/>
          <w:sz w:val="24"/>
          <w:szCs w:val="24"/>
          <w:highlight w:val="none"/>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color w:val="auto"/>
          <w:sz w:val="24"/>
          <w:szCs w:val="24"/>
          <w:highlight w:val="none"/>
        </w:rPr>
      </w:pPr>
      <w:bookmarkStart w:id="14" w:name="_Toc25314"/>
      <w:bookmarkStart w:id="15" w:name="_Toc286"/>
      <w:bookmarkStart w:id="16" w:name="_Toc28359019"/>
      <w:bookmarkStart w:id="17" w:name="_Toc35393637"/>
      <w:bookmarkStart w:id="18" w:name="_Toc28359096"/>
      <w:bookmarkStart w:id="19" w:name="_Toc25683"/>
      <w:bookmarkStart w:id="20" w:name="_Toc35393806"/>
      <w:r>
        <w:rPr>
          <w:rFonts w:hint="eastAsia" w:ascii="宋体" w:hAnsi="宋体" w:eastAsia="宋体" w:cs="宋体"/>
          <w:color w:val="auto"/>
          <w:sz w:val="24"/>
          <w:szCs w:val="24"/>
          <w:highlight w:val="none"/>
        </w:rPr>
        <w:t>1.满足《中华人民共和国政府采购法》第二十二条规定；</w:t>
      </w:r>
    </w:p>
    <w:p>
      <w:pPr>
        <w:ind w:firstLine="480"/>
        <w:rPr>
          <w:rFonts w:hint="eastAsia" w:ascii="宋体" w:hAnsi="宋体" w:eastAsia="宋体" w:cs="宋体"/>
          <w:i w:val="0"/>
          <w:iCs w:val="0"/>
          <w:caps w:val="0"/>
          <w:color w:val="auto"/>
          <w:spacing w:val="0"/>
          <w:sz w:val="24"/>
          <w:szCs w:val="24"/>
          <w:highlight w:val="none"/>
          <w:shd w:val="clear" w:fill="FFFFFF"/>
          <w:lang w:eastAsia="zh-CN"/>
        </w:rPr>
      </w:pPr>
      <w:bookmarkStart w:id="21" w:name="_Toc28359014"/>
      <w:bookmarkStart w:id="22" w:name="_Toc28359091"/>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具有独立承担民事责任的能力；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提供营业执照复印件</w:t>
      </w:r>
      <w:r>
        <w:rPr>
          <w:rFonts w:hint="eastAsia" w:ascii="宋体" w:hAnsi="宋体" w:cs="宋体"/>
          <w:color w:val="auto"/>
          <w:sz w:val="24"/>
          <w:szCs w:val="24"/>
          <w:highlight w:val="none"/>
          <w:lang w:eastAsia="zh-CN"/>
        </w:rPr>
        <w:t>）；</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公司简介及优势（如有）；</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业绩（提供合同或中标通知书）（如有）；</w:t>
      </w:r>
    </w:p>
    <w:p>
      <w:pPr>
        <w:ind w:firstLine="480"/>
        <w:rPr>
          <w:rFonts w:hint="eastAsia" w:ascii="宋体" w:hAnsi="宋体" w:cs="宋体"/>
          <w:color w:val="auto"/>
          <w:sz w:val="24"/>
          <w:szCs w:val="24"/>
          <w:highlight w:val="none"/>
          <w:lang w:val="en-US" w:eastAsia="zh-CN"/>
        </w:rPr>
      </w:pPr>
      <w:r>
        <w:rPr>
          <w:rFonts w:hint="eastAsia" w:ascii="宋体" w:hAnsi="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lang w:val="en-US" w:eastAsia="zh-CN"/>
        </w:rPr>
        <w:t>.</w:t>
      </w:r>
      <w:r>
        <w:rPr>
          <w:rFonts w:hint="eastAsia" w:ascii="宋体" w:hAnsi="宋体" w:eastAsia="宋体" w:cs="宋体"/>
          <w:i w:val="0"/>
          <w:iCs w:val="0"/>
          <w:caps w:val="0"/>
          <w:color w:val="auto"/>
          <w:spacing w:val="0"/>
          <w:sz w:val="24"/>
          <w:szCs w:val="24"/>
          <w:highlight w:val="none"/>
          <w:shd w:val="clear" w:fill="FFFFFF"/>
        </w:rPr>
        <w:t>本项目不接受联合体投标</w:t>
      </w:r>
    </w:p>
    <w:bookmarkEnd w:id="21"/>
    <w:bookmarkEnd w:id="22"/>
    <w:p>
      <w:pPr>
        <w:spacing w:line="233" w:lineRule="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三、</w:t>
      </w:r>
      <w:r>
        <w:rPr>
          <w:rFonts w:hint="eastAsia" w:ascii="宋体" w:hAnsi="宋体" w:cs="宋体"/>
          <w:b/>
          <w:color w:val="auto"/>
          <w:sz w:val="24"/>
          <w:szCs w:val="24"/>
          <w:highlight w:val="none"/>
          <w:lang w:val="en-US" w:eastAsia="zh-CN"/>
        </w:rPr>
        <w:t>报名及资格审查</w:t>
      </w:r>
      <w:r>
        <w:rPr>
          <w:rFonts w:hint="eastAsia" w:ascii="宋体" w:hAnsi="宋体" w:eastAsia="宋体" w:cs="宋体"/>
          <w:b/>
          <w:color w:val="auto"/>
          <w:sz w:val="24"/>
          <w:szCs w:val="24"/>
          <w:highlight w:val="none"/>
        </w:rPr>
        <w:t>文件</w:t>
      </w:r>
      <w:r>
        <w:rPr>
          <w:rFonts w:hint="eastAsia" w:ascii="宋体" w:hAnsi="宋体" w:cs="宋体"/>
          <w:b/>
          <w:color w:val="auto"/>
          <w:sz w:val="24"/>
          <w:szCs w:val="24"/>
          <w:highlight w:val="none"/>
          <w:lang w:val="en-US" w:eastAsia="zh-CN"/>
        </w:rPr>
        <w:t>的提交</w:t>
      </w:r>
    </w:p>
    <w:p>
      <w:pPr>
        <w:spacing w:line="233" w:lineRule="auto"/>
        <w:ind w:firstLine="480"/>
        <w:rPr>
          <w:rFonts w:hint="eastAsia" w:ascii="宋体" w:hAnsi="宋体" w:eastAsia="宋体" w:cs="宋体"/>
          <w:color w:val="auto"/>
          <w:sz w:val="24"/>
          <w:szCs w:val="24"/>
          <w:highlight w:val="none"/>
        </w:rPr>
      </w:pPr>
      <w:bookmarkStart w:id="23" w:name="_Toc35393632"/>
      <w:bookmarkStart w:id="24" w:name="_Toc28359015"/>
      <w:bookmarkStart w:id="25" w:name="_Toc17478"/>
      <w:bookmarkStart w:id="26" w:name="_Toc28359092"/>
      <w:bookmarkStart w:id="27" w:name="_Toc35393801"/>
      <w:bookmarkStart w:id="28" w:name="_Toc1597"/>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潜在</w:t>
      </w:r>
      <w:r>
        <w:rPr>
          <w:rFonts w:hint="eastAsia" w:ascii="宋体" w:hAnsi="宋体" w:cs="宋体"/>
          <w:color w:val="auto"/>
          <w:sz w:val="24"/>
          <w:szCs w:val="24"/>
          <w:highlight w:val="none"/>
          <w:lang w:val="en-US" w:eastAsia="zh-CN"/>
        </w:rPr>
        <w:t>投标单位</w:t>
      </w:r>
      <w:r>
        <w:rPr>
          <w:rFonts w:hint="eastAsia" w:ascii="宋体" w:hAnsi="宋体" w:eastAsia="宋体" w:cs="宋体"/>
          <w:color w:val="auto"/>
          <w:sz w:val="24"/>
          <w:szCs w:val="24"/>
          <w:highlight w:val="none"/>
        </w:rPr>
        <w:t>应携带授权委托书</w:t>
      </w:r>
      <w:r>
        <w:rPr>
          <w:rFonts w:hint="eastAsia" w:ascii="宋体" w:hAnsi="宋体" w:eastAsia="宋体" w:cs="宋体"/>
          <w:color w:val="auto"/>
          <w:sz w:val="24"/>
          <w:szCs w:val="24"/>
          <w:highlight w:val="none"/>
          <w:lang w:eastAsia="zh-CN"/>
        </w:rPr>
        <w:t>及</w:t>
      </w:r>
      <w:r>
        <w:rPr>
          <w:rFonts w:hint="eastAsia" w:ascii="宋体" w:hAnsi="宋体" w:eastAsia="宋体" w:cs="宋体"/>
          <w:color w:val="auto"/>
          <w:sz w:val="24"/>
          <w:szCs w:val="24"/>
          <w:highlight w:val="none"/>
        </w:rPr>
        <w:t>身份证</w:t>
      </w:r>
      <w:r>
        <w:rPr>
          <w:rFonts w:hint="eastAsia" w:ascii="宋体" w:hAnsi="宋体" w:eastAsia="宋体" w:cs="宋体"/>
          <w:color w:val="auto"/>
          <w:sz w:val="24"/>
          <w:szCs w:val="24"/>
          <w:highlight w:val="none"/>
          <w:lang w:eastAsia="zh-CN"/>
        </w:rPr>
        <w:t>复印</w:t>
      </w:r>
      <w:r>
        <w:rPr>
          <w:rFonts w:hint="eastAsia" w:ascii="宋体" w:hAnsi="宋体" w:eastAsia="宋体" w:cs="宋体"/>
          <w:color w:val="auto"/>
          <w:sz w:val="24"/>
          <w:szCs w:val="24"/>
          <w:highlight w:val="none"/>
        </w:rPr>
        <w:t>件</w:t>
      </w:r>
      <w:r>
        <w:rPr>
          <w:rFonts w:hint="eastAsia" w:ascii="宋体" w:hAnsi="宋体" w:cs="宋体"/>
          <w:color w:val="auto"/>
          <w:sz w:val="24"/>
          <w:szCs w:val="24"/>
          <w:highlight w:val="none"/>
          <w:lang w:val="en-US" w:eastAsia="zh-CN"/>
        </w:rPr>
        <w:t>、</w:t>
      </w:r>
      <w:r>
        <w:rPr>
          <w:rFonts w:hint="eastAsia" w:ascii="宋体" w:hAnsi="宋体" w:eastAsia="宋体" w:cs="宋体"/>
          <w:bCs w:val="0"/>
          <w:color w:val="auto"/>
          <w:sz w:val="24"/>
          <w:szCs w:val="24"/>
          <w:highlight w:val="none"/>
        </w:rPr>
        <w:t>申请人的资格要求</w:t>
      </w:r>
      <w:r>
        <w:rPr>
          <w:rFonts w:hint="eastAsia" w:ascii="宋体" w:hAnsi="宋体" w:eastAsia="宋体" w:cs="宋体"/>
          <w:bCs w:val="0"/>
          <w:color w:val="auto"/>
          <w:sz w:val="24"/>
          <w:szCs w:val="24"/>
          <w:highlight w:val="none"/>
          <w:lang w:val="en-US" w:eastAsia="zh-CN"/>
        </w:rPr>
        <w:t>中的材料至</w:t>
      </w:r>
      <w:r>
        <w:rPr>
          <w:rFonts w:hint="eastAsia" w:ascii="宋体" w:hAnsi="宋体" w:eastAsia="宋体" w:cs="宋体"/>
          <w:bCs w:val="0"/>
          <w:color w:val="auto"/>
          <w:sz w:val="24"/>
          <w:szCs w:val="24"/>
          <w:highlight w:val="none"/>
          <w:lang w:val="en-US" w:eastAsia="zh-CN"/>
        </w:rPr>
        <w:fldChar w:fldCharType="begin"/>
      </w:r>
      <w:r>
        <w:rPr>
          <w:rFonts w:hint="eastAsia" w:ascii="宋体" w:hAnsi="宋体" w:eastAsia="宋体" w:cs="宋体"/>
          <w:bCs w:val="0"/>
          <w:color w:val="auto"/>
          <w:sz w:val="24"/>
          <w:szCs w:val="24"/>
          <w:highlight w:val="none"/>
          <w:lang w:val="en-US" w:eastAsia="zh-CN"/>
        </w:rPr>
        <w:instrText xml:space="preserve"> HYPERLINK "http://www.jxsggzy.cn/web/)" \h </w:instrText>
      </w:r>
      <w:r>
        <w:rPr>
          <w:rFonts w:hint="eastAsia" w:ascii="宋体" w:hAnsi="宋体" w:eastAsia="宋体" w:cs="宋体"/>
          <w:bCs w:val="0"/>
          <w:color w:val="auto"/>
          <w:sz w:val="24"/>
          <w:szCs w:val="24"/>
          <w:highlight w:val="none"/>
          <w:lang w:val="en-US" w:eastAsia="zh-CN"/>
        </w:rPr>
        <w:fldChar w:fldCharType="separate"/>
      </w:r>
      <w:r>
        <w:rPr>
          <w:rFonts w:hint="eastAsia" w:ascii="宋体" w:hAnsi="宋体" w:cs="宋体"/>
          <w:bCs w:val="0"/>
          <w:color w:val="auto"/>
          <w:sz w:val="24"/>
          <w:szCs w:val="24"/>
          <w:highlight w:val="none"/>
          <w:lang w:val="en-US" w:eastAsia="zh-CN"/>
        </w:rPr>
        <w:t>江西睿佳工程咨询有限公司</w:t>
      </w:r>
      <w:r>
        <w:rPr>
          <w:rFonts w:hint="eastAsia" w:ascii="宋体" w:hAnsi="宋体" w:eastAsia="宋体" w:cs="宋体"/>
          <w:bCs w:val="0"/>
          <w:color w:val="auto"/>
          <w:sz w:val="24"/>
          <w:szCs w:val="24"/>
          <w:highlight w:val="none"/>
          <w:lang w:val="en-US" w:eastAsia="zh-CN"/>
        </w:rPr>
        <w:t>（</w:t>
      </w:r>
      <w:r>
        <w:rPr>
          <w:rFonts w:hint="eastAsia" w:ascii="宋体" w:hAnsi="宋体" w:cs="宋体"/>
          <w:bCs w:val="0"/>
          <w:color w:val="auto"/>
          <w:sz w:val="24"/>
          <w:szCs w:val="24"/>
          <w:highlight w:val="none"/>
          <w:lang w:val="en-US" w:eastAsia="zh-CN"/>
        </w:rPr>
        <w:t>萍乡市安源区翡翠城1栋23楼</w:t>
      </w:r>
      <w:r>
        <w:rPr>
          <w:rFonts w:hint="eastAsia" w:ascii="宋体" w:hAnsi="宋体" w:eastAsia="宋体" w:cs="宋体"/>
          <w:bCs w:val="0"/>
          <w:color w:val="auto"/>
          <w:sz w:val="24"/>
          <w:szCs w:val="24"/>
          <w:highlight w:val="none"/>
          <w:lang w:val="en-US" w:eastAsia="zh-CN"/>
        </w:rPr>
        <w:fldChar w:fldCharType="end"/>
      </w:r>
      <w:r>
        <w:rPr>
          <w:rFonts w:hint="eastAsia" w:ascii="宋体" w:hAnsi="宋体" w:eastAsia="宋体" w:cs="宋体"/>
          <w:bCs w:val="0"/>
          <w:color w:val="auto"/>
          <w:sz w:val="24"/>
          <w:szCs w:val="24"/>
          <w:highlight w:val="none"/>
          <w:lang w:val="en-US" w:eastAsia="zh-CN"/>
        </w:rPr>
        <w:t>）</w:t>
      </w:r>
      <w:r>
        <w:rPr>
          <w:rFonts w:hint="eastAsia" w:ascii="宋体" w:hAnsi="宋体" w:eastAsia="宋体" w:cs="宋体"/>
          <w:color w:val="auto"/>
          <w:sz w:val="24"/>
          <w:szCs w:val="24"/>
          <w:highlight w:val="none"/>
        </w:rPr>
        <w:t>现场报名。</w:t>
      </w:r>
      <w:r>
        <w:rPr>
          <w:rFonts w:hint="eastAsia" w:ascii="宋体" w:hAnsi="宋体" w:eastAsia="宋体" w:cs="宋体"/>
          <w:color w:val="auto"/>
          <w:sz w:val="24"/>
          <w:szCs w:val="24"/>
          <w:highlight w:val="none"/>
          <w:lang w:val="en-US" w:eastAsia="zh-CN"/>
        </w:rPr>
        <w:t>报名及审查文件的提交</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日至</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rPr>
        <w:t>日（上午9:00-下午17:00）</w:t>
      </w:r>
      <w:r>
        <w:rPr>
          <w:rFonts w:hint="eastAsia" w:ascii="宋体" w:hAnsi="宋体" w:eastAsia="宋体" w:cs="宋体"/>
          <w:color w:val="auto"/>
          <w:sz w:val="24"/>
          <w:szCs w:val="24"/>
          <w:highlight w:val="none"/>
          <w:lang w:eastAsia="zh-CN"/>
        </w:rPr>
        <w:t>。</w:t>
      </w:r>
    </w:p>
    <w:p>
      <w:pPr>
        <w:spacing w:line="233"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四、资格</w:t>
      </w:r>
      <w:r>
        <w:rPr>
          <w:rFonts w:hint="eastAsia" w:ascii="宋体" w:hAnsi="宋体" w:eastAsia="宋体" w:cs="宋体"/>
          <w:b/>
          <w:color w:val="auto"/>
          <w:sz w:val="24"/>
          <w:szCs w:val="24"/>
          <w:highlight w:val="none"/>
          <w:lang w:val="en-US" w:eastAsia="zh-CN"/>
        </w:rPr>
        <w:t>审查</w:t>
      </w:r>
      <w:r>
        <w:rPr>
          <w:rFonts w:hint="eastAsia" w:ascii="宋体" w:hAnsi="宋体" w:eastAsia="宋体" w:cs="宋体"/>
          <w:b/>
          <w:color w:val="auto"/>
          <w:sz w:val="24"/>
          <w:szCs w:val="24"/>
          <w:highlight w:val="none"/>
        </w:rPr>
        <w:t>方法</w:t>
      </w:r>
    </w:p>
    <w:p>
      <w:pPr>
        <w:spacing w:line="233" w:lineRule="auto"/>
        <w:ind w:firstLine="480" w:firstLineChars="200"/>
        <w:rPr>
          <w:rFonts w:hint="default" w:ascii="宋体" w:hAnsi="宋体" w:eastAsia="宋体" w:cs="宋体"/>
          <w:b w:val="0"/>
          <w:bCs/>
          <w:color w:val="auto"/>
          <w:sz w:val="24"/>
          <w:szCs w:val="24"/>
          <w:highlight w:val="none"/>
          <w:lang w:val="en-US" w:eastAsia="zh-CN"/>
        </w:rPr>
      </w:pPr>
      <w:r>
        <w:rPr>
          <w:rFonts w:hint="eastAsia" w:ascii="宋体" w:hAnsi="宋体" w:eastAsia="宋体" w:cs="宋体"/>
          <w:color w:val="auto"/>
          <w:sz w:val="24"/>
          <w:szCs w:val="24"/>
          <w:highlight w:val="none"/>
        </w:rPr>
        <w:t>本次资格</w:t>
      </w:r>
      <w:r>
        <w:rPr>
          <w:rFonts w:hint="eastAsia" w:ascii="宋体" w:hAnsi="宋体" w:eastAsia="宋体" w:cs="宋体"/>
          <w:color w:val="auto"/>
          <w:sz w:val="24"/>
          <w:szCs w:val="24"/>
          <w:highlight w:val="none"/>
          <w:lang w:val="en-US" w:eastAsia="zh-CN"/>
        </w:rPr>
        <w:t>审查</w:t>
      </w:r>
      <w:r>
        <w:rPr>
          <w:rFonts w:hint="eastAsia" w:ascii="宋体" w:hAnsi="宋体" w:eastAsia="宋体" w:cs="宋体"/>
          <w:color w:val="auto"/>
          <w:sz w:val="24"/>
          <w:szCs w:val="24"/>
          <w:highlight w:val="none"/>
        </w:rPr>
        <w:t>采用合格制。</w:t>
      </w:r>
      <w:r>
        <w:rPr>
          <w:rFonts w:hint="eastAsia" w:ascii="宋体" w:hAnsi="宋体" w:eastAsia="宋体" w:cs="宋体"/>
          <w:color w:val="auto"/>
          <w:sz w:val="24"/>
          <w:szCs w:val="24"/>
          <w:highlight w:val="none"/>
          <w:lang w:val="en-US" w:eastAsia="zh-CN"/>
        </w:rPr>
        <w:t>报名成功的投标单位，由专家审查投标单位的</w:t>
      </w:r>
      <w:r>
        <w:rPr>
          <w:rFonts w:hint="eastAsia" w:ascii="宋体" w:hAnsi="宋体" w:cs="宋体"/>
          <w:b w:val="0"/>
          <w:bCs/>
          <w:color w:val="auto"/>
          <w:sz w:val="24"/>
          <w:szCs w:val="24"/>
          <w:highlight w:val="none"/>
          <w:lang w:val="en-US" w:eastAsia="zh-CN"/>
        </w:rPr>
        <w:t>资格审查</w:t>
      </w:r>
      <w:r>
        <w:rPr>
          <w:rFonts w:hint="eastAsia" w:ascii="宋体" w:hAnsi="宋体" w:eastAsia="宋体" w:cs="宋体"/>
          <w:b w:val="0"/>
          <w:bCs/>
          <w:color w:val="auto"/>
          <w:sz w:val="24"/>
          <w:szCs w:val="24"/>
          <w:highlight w:val="none"/>
        </w:rPr>
        <w:t>文件</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lang w:val="en-US" w:eastAsia="zh-CN"/>
        </w:rPr>
        <w:t>并推荐</w:t>
      </w:r>
      <w:r>
        <w:rPr>
          <w:rFonts w:hint="eastAsia" w:ascii="宋体" w:hAnsi="宋体" w:cs="宋体"/>
          <w:b w:val="0"/>
          <w:bCs/>
          <w:color w:val="auto"/>
          <w:sz w:val="24"/>
          <w:szCs w:val="24"/>
          <w:highlight w:val="none"/>
          <w:lang w:val="en-US" w:eastAsia="zh-CN"/>
        </w:rPr>
        <w:t>三家符合要求并有优势的</w:t>
      </w:r>
      <w:r>
        <w:rPr>
          <w:rFonts w:hint="eastAsia" w:ascii="宋体" w:hAnsi="宋体" w:eastAsia="宋体" w:cs="宋体"/>
          <w:b w:val="0"/>
          <w:bCs/>
          <w:color w:val="auto"/>
          <w:sz w:val="24"/>
          <w:szCs w:val="24"/>
          <w:highlight w:val="none"/>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五</w:t>
      </w:r>
      <w:r>
        <w:rPr>
          <w:rFonts w:hint="eastAsia" w:ascii="宋体" w:hAnsi="宋体" w:eastAsia="宋体" w:cs="宋体"/>
          <w:b/>
          <w:color w:val="auto"/>
          <w:sz w:val="24"/>
          <w:szCs w:val="24"/>
          <w:highlight w:val="none"/>
        </w:rPr>
        <w:t>、凡对本次采购提出询问，请按以下方式联系。</w:t>
      </w:r>
    </w:p>
    <w:p>
      <w:pPr>
        <w:pStyle w:val="3"/>
        <w:spacing w:before="0" w:after="0" w:line="240" w:lineRule="auto"/>
        <w:ind w:firstLine="720" w:firstLineChars="3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val="en-US" w:eastAsia="zh-CN"/>
        </w:rPr>
        <w:t>萍乡市五峰林业发展有限公司</w:t>
      </w:r>
    </w:p>
    <w:p>
      <w:pPr>
        <w:spacing w:line="324" w:lineRule="exact"/>
        <w:ind w:firstLine="660" w:firstLineChars="275"/>
        <w:rPr>
          <w:rFonts w:hint="eastAsia" w:ascii="宋体" w:hAnsi="宋体" w:cs="宋体"/>
          <w:color w:val="auto"/>
          <w:sz w:val="24"/>
          <w:szCs w:val="24"/>
          <w:highlight w:val="none"/>
          <w:u w:val="single"/>
          <w:lang w:eastAsia="zh-CN"/>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u w:val="single"/>
          <w:lang w:eastAsia="zh-CN"/>
        </w:rPr>
        <w:t>江西省萍乡市湘东区湘东镇樟里村</w:t>
      </w:r>
    </w:p>
    <w:p>
      <w:pPr>
        <w:spacing w:line="324" w:lineRule="exact"/>
        <w:ind w:firstLine="660" w:firstLineChars="275"/>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bookmarkStart w:id="29" w:name="_Toc28359097"/>
      <w:bookmarkStart w:id="30" w:name="_Toc35393807"/>
      <w:bookmarkStart w:id="31" w:name="_Toc28359020"/>
      <w:bookmarkStart w:id="32" w:name="_Toc35393638"/>
      <w:r>
        <w:rPr>
          <w:rFonts w:hint="eastAsia" w:ascii="宋体" w:hAnsi="宋体" w:cs="宋体"/>
          <w:color w:val="auto"/>
          <w:sz w:val="24"/>
          <w:szCs w:val="24"/>
          <w:highlight w:val="none"/>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color w:val="auto"/>
          <w:sz w:val="24"/>
          <w:szCs w:val="24"/>
          <w:highlight w:val="none"/>
        </w:rPr>
      </w:pPr>
      <w:bookmarkStart w:id="33" w:name="_Toc15785"/>
      <w:bookmarkStart w:id="34" w:name="_Toc5076"/>
      <w:r>
        <w:rPr>
          <w:rFonts w:hint="eastAsia" w:ascii="宋体" w:hAnsi="宋体" w:eastAsia="宋体" w:cs="宋体"/>
          <w:b w:val="0"/>
          <w:color w:val="auto"/>
          <w:sz w:val="24"/>
          <w:szCs w:val="24"/>
          <w:highlight w:val="none"/>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eastAsia="zh-CN"/>
        </w:rPr>
        <w:t>江西睿佳工程咨询有限公司</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bCs w:val="0"/>
          <w:color w:val="auto"/>
          <w:sz w:val="24"/>
          <w:szCs w:val="24"/>
          <w:highlight w:val="none"/>
          <w:u w:val="single"/>
          <w:lang w:val="en-US" w:eastAsia="zh-CN"/>
        </w:rPr>
        <w:fldChar w:fldCharType="begin"/>
      </w:r>
      <w:r>
        <w:rPr>
          <w:rFonts w:hint="eastAsia" w:ascii="宋体" w:hAnsi="宋体" w:eastAsia="宋体" w:cs="宋体"/>
          <w:bCs w:val="0"/>
          <w:color w:val="auto"/>
          <w:sz w:val="24"/>
          <w:szCs w:val="24"/>
          <w:highlight w:val="none"/>
          <w:u w:val="single"/>
          <w:lang w:val="en-US" w:eastAsia="zh-CN"/>
        </w:rPr>
        <w:instrText xml:space="preserve"> HYPERLINK "http://www.jxsggzy.cn/web/)" \h </w:instrText>
      </w:r>
      <w:r>
        <w:rPr>
          <w:rFonts w:hint="eastAsia" w:ascii="宋体" w:hAnsi="宋体" w:eastAsia="宋体" w:cs="宋体"/>
          <w:bCs w:val="0"/>
          <w:color w:val="auto"/>
          <w:sz w:val="24"/>
          <w:szCs w:val="24"/>
          <w:highlight w:val="none"/>
          <w:u w:val="single"/>
          <w:lang w:val="en-US" w:eastAsia="zh-CN"/>
        </w:rPr>
        <w:fldChar w:fldCharType="separate"/>
      </w:r>
      <w:r>
        <w:rPr>
          <w:rFonts w:hint="eastAsia" w:ascii="宋体" w:hAnsi="宋体" w:cs="宋体"/>
          <w:bCs w:val="0"/>
          <w:color w:val="auto"/>
          <w:sz w:val="24"/>
          <w:szCs w:val="24"/>
          <w:highlight w:val="none"/>
          <w:u w:val="single"/>
          <w:lang w:val="en-US" w:eastAsia="zh-CN"/>
        </w:rPr>
        <w:t>江西睿佳工程咨询有限公司</w:t>
      </w:r>
      <w:r>
        <w:rPr>
          <w:rFonts w:hint="eastAsia" w:ascii="宋体" w:hAnsi="宋体" w:eastAsia="宋体" w:cs="宋体"/>
          <w:bCs w:val="0"/>
          <w:color w:val="auto"/>
          <w:sz w:val="24"/>
          <w:szCs w:val="24"/>
          <w:highlight w:val="none"/>
          <w:u w:val="single"/>
          <w:lang w:val="en-US" w:eastAsia="zh-CN"/>
        </w:rPr>
        <w:t>（</w:t>
      </w:r>
      <w:r>
        <w:rPr>
          <w:rFonts w:hint="eastAsia" w:ascii="宋体" w:hAnsi="宋体" w:cs="宋体"/>
          <w:bCs w:val="0"/>
          <w:color w:val="auto"/>
          <w:sz w:val="24"/>
          <w:szCs w:val="24"/>
          <w:highlight w:val="none"/>
          <w:u w:val="single"/>
          <w:lang w:val="en-US" w:eastAsia="zh-CN"/>
        </w:rPr>
        <w:t>萍乡市安源区翡翠城1栋23楼</w:t>
      </w:r>
      <w:r>
        <w:rPr>
          <w:rFonts w:hint="eastAsia" w:ascii="宋体" w:hAnsi="宋体" w:eastAsia="宋体" w:cs="宋体"/>
          <w:bCs w:val="0"/>
          <w:color w:val="auto"/>
          <w:sz w:val="24"/>
          <w:szCs w:val="24"/>
          <w:highlight w:val="none"/>
          <w:u w:val="single"/>
          <w:lang w:val="en-US" w:eastAsia="zh-CN"/>
        </w:rPr>
        <w:fldChar w:fldCharType="end"/>
      </w:r>
      <w:r>
        <w:rPr>
          <w:rFonts w:hint="eastAsia" w:ascii="宋体" w:hAnsi="宋体" w:eastAsia="宋体" w:cs="宋体"/>
          <w:bCs w:val="0"/>
          <w:color w:val="auto"/>
          <w:sz w:val="24"/>
          <w:szCs w:val="24"/>
          <w:highlight w:val="none"/>
          <w:u w:val="single"/>
          <w:lang w:val="en-US" w:eastAsia="zh-CN"/>
        </w:rPr>
        <w:t>）</w:t>
      </w:r>
    </w:p>
    <w:p>
      <w:pPr>
        <w:spacing w:line="324" w:lineRule="exact"/>
        <w:ind w:firstLine="720" w:firstLineChars="3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u w:val="single"/>
          <w:lang w:eastAsia="zh-CN"/>
        </w:rPr>
        <w:t>13879935369</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pPr>
        <w:spacing w:line="324" w:lineRule="exact"/>
        <w:ind w:firstLine="720" w:firstLineChars="300"/>
        <w:rPr>
          <w:rFonts w:hint="eastAsia" w:ascii="宋体" w:hAnsi="宋体" w:eastAsia="宋体" w:cs="宋体"/>
          <w:b w:val="0"/>
          <w:bCs w:val="0"/>
          <w:color w:val="auto"/>
          <w:sz w:val="24"/>
          <w:highlight w:val="none"/>
          <w:lang w:val="en-US" w:eastAsia="zh-CN"/>
        </w:rPr>
      </w:pPr>
      <w:r>
        <w:rPr>
          <w:rFonts w:hint="eastAsia" w:ascii="宋体" w:hAnsi="宋体" w:eastAsia="宋体" w:cs="宋体"/>
          <w:color w:val="auto"/>
          <w:sz w:val="24"/>
          <w:szCs w:val="24"/>
          <w:highlight w:val="none"/>
        </w:rPr>
        <w:t>项目联系人：</w:t>
      </w:r>
      <w:r>
        <w:rPr>
          <w:rFonts w:hint="eastAsia" w:ascii="宋体" w:hAnsi="宋体" w:cs="宋体"/>
          <w:color w:val="auto"/>
          <w:sz w:val="24"/>
          <w:szCs w:val="24"/>
          <w:highlight w:val="none"/>
          <w:u w:val="single"/>
          <w:lang w:eastAsia="zh-CN"/>
        </w:rPr>
        <w:t>王强</w:t>
      </w: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6F5CE3"/>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8638FE"/>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37350AD"/>
    <w:rsid w:val="35062596"/>
    <w:rsid w:val="35396A06"/>
    <w:rsid w:val="36BB42BC"/>
    <w:rsid w:val="3A7A480C"/>
    <w:rsid w:val="3AE76951"/>
    <w:rsid w:val="3DC83F50"/>
    <w:rsid w:val="3DF90A28"/>
    <w:rsid w:val="3F35201B"/>
    <w:rsid w:val="413D426F"/>
    <w:rsid w:val="42F661C1"/>
    <w:rsid w:val="439C049B"/>
    <w:rsid w:val="44AE1222"/>
    <w:rsid w:val="468222D6"/>
    <w:rsid w:val="46AE7CA9"/>
    <w:rsid w:val="482A0440"/>
    <w:rsid w:val="491357E9"/>
    <w:rsid w:val="4E770B58"/>
    <w:rsid w:val="4EAF5702"/>
    <w:rsid w:val="531E5EC7"/>
    <w:rsid w:val="5411471F"/>
    <w:rsid w:val="55ED6DE7"/>
    <w:rsid w:val="574452C1"/>
    <w:rsid w:val="575B4C17"/>
    <w:rsid w:val="59DC3467"/>
    <w:rsid w:val="5BE93CEC"/>
    <w:rsid w:val="5EB47D84"/>
    <w:rsid w:val="5F2516A8"/>
    <w:rsid w:val="61433E58"/>
    <w:rsid w:val="63102F17"/>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6E7513D"/>
    <w:rsid w:val="776A456E"/>
    <w:rsid w:val="77B1211A"/>
    <w:rsid w:val="79E215DD"/>
    <w:rsid w:val="7C2A6D06"/>
    <w:rsid w:val="7C7158DD"/>
    <w:rsid w:val="7D1F3C17"/>
    <w:rsid w:val="7D3B30C9"/>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22</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2024-04-11T07:34:08Z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C8CA1B65AAC64B0AA983DC525B827A3C_13</vt:lpwstr>
  </property>
</Properties>
</file>